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23054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842"/>
        <w:gridCol w:w="2145"/>
        <w:gridCol w:w="2145"/>
        <w:gridCol w:w="3059"/>
        <w:gridCol w:w="2752"/>
        <w:gridCol w:w="2518"/>
        <w:gridCol w:w="1828"/>
        <w:gridCol w:w="1730"/>
        <w:gridCol w:w="1842"/>
        <w:gridCol w:w="1757"/>
      </w:tblGrid>
      <w:tr w:rsidR="0046365F" w:rsidTr="0046365F">
        <w:trPr>
          <w:tblHeader/>
          <w:jc w:val="center"/>
        </w:trPr>
        <w:tc>
          <w:tcPr>
            <w:tcW w:w="1436" w:type="dxa"/>
            <w:vMerge w:val="restart"/>
            <w:shd w:val="clear" w:color="auto" w:fill="948A54" w:themeFill="background2" w:themeFillShade="80"/>
          </w:tcPr>
          <w:p w:rsidR="0046365F" w:rsidRPr="00394244" w:rsidRDefault="0046365F" w:rsidP="00394244">
            <w:pPr>
              <w:bidi/>
              <w:jc w:val="center"/>
              <w:rPr>
                <w:rFonts w:hint="cs"/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الإحصائية</w:t>
            </w:r>
          </w:p>
        </w:tc>
        <w:tc>
          <w:tcPr>
            <w:tcW w:w="1842" w:type="dxa"/>
            <w:vMerge w:val="restart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العربية</w:t>
            </w:r>
          </w:p>
        </w:tc>
        <w:tc>
          <w:tcPr>
            <w:tcW w:w="2145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الإنجليزي</w:t>
            </w:r>
          </w:p>
        </w:tc>
        <w:tc>
          <w:tcPr>
            <w:tcW w:w="2145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الفرنسية</w:t>
            </w:r>
          </w:p>
        </w:tc>
        <w:tc>
          <w:tcPr>
            <w:tcW w:w="3059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B42027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الألمانية</w:t>
            </w:r>
          </w:p>
        </w:tc>
        <w:tc>
          <w:tcPr>
            <w:tcW w:w="2752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الروسية</w:t>
            </w:r>
          </w:p>
        </w:tc>
        <w:tc>
          <w:tcPr>
            <w:tcW w:w="2518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السويدية</w:t>
            </w:r>
          </w:p>
        </w:tc>
        <w:tc>
          <w:tcPr>
            <w:tcW w:w="1828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 w:rsidRPr="00394244">
              <w:rPr>
                <w:rFonts w:hint="cs"/>
                <w:color w:val="FFFFFF" w:themeColor="background1"/>
                <w:rtl/>
              </w:rPr>
              <w:t>الصيني</w:t>
            </w:r>
          </w:p>
        </w:tc>
        <w:tc>
          <w:tcPr>
            <w:tcW w:w="1730" w:type="dxa"/>
            <w:shd w:val="clear" w:color="auto" w:fill="948A54" w:themeFill="background2" w:themeFillShade="80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proofErr w:type="spellStart"/>
            <w:r>
              <w:rPr>
                <w:rFonts w:hint="cs"/>
                <w:color w:val="FFFFFF" w:themeColor="background1"/>
                <w:rtl/>
              </w:rPr>
              <w:t>الأسبانية</w:t>
            </w:r>
            <w:proofErr w:type="spellEnd"/>
          </w:p>
        </w:tc>
        <w:tc>
          <w:tcPr>
            <w:tcW w:w="1842" w:type="dxa"/>
            <w:shd w:val="clear" w:color="auto" w:fill="948A54" w:themeFill="background2" w:themeFillShade="80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الإيطالية</w:t>
            </w:r>
          </w:p>
        </w:tc>
        <w:tc>
          <w:tcPr>
            <w:tcW w:w="1757" w:type="dxa"/>
            <w:shd w:val="clear" w:color="auto" w:fill="948A54" w:themeFill="background2" w:themeFillShade="80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الفارسية</w:t>
            </w:r>
          </w:p>
        </w:tc>
      </w:tr>
      <w:tr w:rsidR="0046365F" w:rsidTr="0046365F">
        <w:trPr>
          <w:tblHeader/>
          <w:jc w:val="center"/>
        </w:trPr>
        <w:tc>
          <w:tcPr>
            <w:tcW w:w="1436" w:type="dxa"/>
            <w:vMerge/>
            <w:shd w:val="clear" w:color="auto" w:fill="948A54" w:themeFill="background2" w:themeFillShade="80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  <w:tc>
          <w:tcPr>
            <w:tcW w:w="1842" w:type="dxa"/>
            <w:vMerge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  <w:tc>
          <w:tcPr>
            <w:tcW w:w="2145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jc w:val="center"/>
              <w:rPr>
                <w:color w:val="FFFFFF" w:themeColor="background1"/>
              </w:rPr>
            </w:pPr>
            <w:r w:rsidRPr="00394244">
              <w:rPr>
                <w:color w:val="FFFFFF" w:themeColor="background1"/>
              </w:rPr>
              <w:t>English</w:t>
            </w:r>
          </w:p>
        </w:tc>
        <w:tc>
          <w:tcPr>
            <w:tcW w:w="2145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jc w:val="center"/>
              <w:rPr>
                <w:color w:val="FFFFFF" w:themeColor="background1"/>
              </w:rPr>
            </w:pPr>
            <w:r w:rsidRPr="00394244">
              <w:rPr>
                <w:color w:val="FFFFFF" w:themeColor="background1"/>
              </w:rPr>
              <w:t>French</w:t>
            </w:r>
          </w:p>
        </w:tc>
        <w:tc>
          <w:tcPr>
            <w:tcW w:w="3059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B42027">
            <w:pPr>
              <w:jc w:val="center"/>
              <w:rPr>
                <w:color w:val="FFFFFF" w:themeColor="background1"/>
              </w:rPr>
            </w:pPr>
            <w:r w:rsidRPr="00394244">
              <w:rPr>
                <w:color w:val="FFFFFF" w:themeColor="background1"/>
              </w:rPr>
              <w:t>German</w:t>
            </w:r>
            <w:r>
              <w:rPr>
                <w:color w:val="FFFFFF" w:themeColor="background1"/>
              </w:rPr>
              <w:t>y</w:t>
            </w:r>
          </w:p>
        </w:tc>
        <w:tc>
          <w:tcPr>
            <w:tcW w:w="2752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jc w:val="center"/>
              <w:rPr>
                <w:color w:val="FFFFFF" w:themeColor="background1"/>
                <w:rtl/>
              </w:rPr>
            </w:pPr>
            <w:r w:rsidRPr="00394244">
              <w:rPr>
                <w:color w:val="FFFFFF" w:themeColor="background1"/>
              </w:rPr>
              <w:t>Russian</w:t>
            </w:r>
          </w:p>
        </w:tc>
        <w:tc>
          <w:tcPr>
            <w:tcW w:w="2518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39424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Swedish </w:t>
            </w:r>
          </w:p>
        </w:tc>
        <w:tc>
          <w:tcPr>
            <w:tcW w:w="1828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B9179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Chinese </w:t>
            </w:r>
          </w:p>
        </w:tc>
        <w:tc>
          <w:tcPr>
            <w:tcW w:w="1730" w:type="dxa"/>
            <w:shd w:val="clear" w:color="auto" w:fill="948A54" w:themeFill="background2" w:themeFillShade="80"/>
            <w:vAlign w:val="center"/>
          </w:tcPr>
          <w:p w:rsidR="0046365F" w:rsidRDefault="0046365F" w:rsidP="00D853BF">
            <w:pPr>
              <w:jc w:val="center"/>
              <w:rPr>
                <w:color w:val="FFFFFF"/>
                <w:rtl/>
              </w:rPr>
            </w:pPr>
            <w:proofErr w:type="spellStart"/>
            <w:r>
              <w:rPr>
                <w:color w:val="FFFFFF"/>
              </w:rPr>
              <w:t>Español</w:t>
            </w:r>
            <w:proofErr w:type="spellEnd"/>
          </w:p>
        </w:tc>
        <w:tc>
          <w:tcPr>
            <w:tcW w:w="1842" w:type="dxa"/>
            <w:shd w:val="clear" w:color="auto" w:fill="948A54" w:themeFill="background2" w:themeFillShade="80"/>
            <w:vAlign w:val="center"/>
          </w:tcPr>
          <w:p w:rsidR="0046365F" w:rsidRPr="00394244" w:rsidRDefault="0046365F" w:rsidP="00D853BF">
            <w:pPr>
              <w:jc w:val="center"/>
              <w:rPr>
                <w:color w:val="FFFFFF" w:themeColor="background1"/>
                <w:rtl/>
              </w:rPr>
            </w:pPr>
            <w:proofErr w:type="spellStart"/>
            <w:r w:rsidRPr="00BB1F4D">
              <w:rPr>
                <w:color w:val="FFFFFF" w:themeColor="background1"/>
              </w:rPr>
              <w:t>Italiano</w:t>
            </w:r>
            <w:proofErr w:type="spellEnd"/>
          </w:p>
        </w:tc>
        <w:tc>
          <w:tcPr>
            <w:tcW w:w="1757" w:type="dxa"/>
            <w:shd w:val="clear" w:color="auto" w:fill="948A54" w:themeFill="background2" w:themeFillShade="80"/>
          </w:tcPr>
          <w:p w:rsidR="0046365F" w:rsidRDefault="0046365F" w:rsidP="00B91790">
            <w:pPr>
              <w:jc w:val="center"/>
              <w:rPr>
                <w:color w:val="FFFFFF" w:themeColor="background1"/>
                <w:rtl/>
              </w:rPr>
            </w:pPr>
            <w:proofErr w:type="spellStart"/>
            <w:r>
              <w:rPr>
                <w:rFonts w:hint="cs"/>
                <w:color w:val="FFFFFF" w:themeColor="background1"/>
                <w:rtl/>
              </w:rPr>
              <w:t>فارسى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C4BC96" w:themeFill="background2" w:themeFillShade="BF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المركز القانوني للحقوق والتنمية</w:t>
            </w:r>
          </w:p>
        </w:tc>
        <w:tc>
          <w:tcPr>
            <w:tcW w:w="2145" w:type="dxa"/>
            <w:shd w:val="clear" w:color="auto" w:fill="C4BC96" w:themeFill="background2" w:themeFillShade="BF"/>
            <w:vAlign w:val="center"/>
          </w:tcPr>
          <w:p w:rsidR="0046365F" w:rsidRPr="00AF1F87" w:rsidRDefault="0046365F" w:rsidP="00394244">
            <w:pPr>
              <w:jc w:val="center"/>
            </w:pPr>
            <w:r>
              <w:t>Legal Center for Rights and Development</w:t>
            </w:r>
          </w:p>
        </w:tc>
        <w:tc>
          <w:tcPr>
            <w:tcW w:w="2145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394244">
            <w:pPr>
              <w:jc w:val="center"/>
            </w:pPr>
            <w:r w:rsidRPr="000248F7">
              <w:t xml:space="preserve">Center </w:t>
            </w:r>
            <w:proofErr w:type="spellStart"/>
            <w:r w:rsidRPr="000248F7">
              <w:t>juridique</w:t>
            </w:r>
            <w:proofErr w:type="spellEnd"/>
            <w:r w:rsidRPr="000248F7">
              <w:t xml:space="preserve"> pour</w:t>
            </w:r>
            <w:r w:rsidRPr="000248F7">
              <w:cr/>
              <w:t xml:space="preserve">les </w:t>
            </w:r>
            <w:proofErr w:type="spellStart"/>
            <w:r w:rsidRPr="000248F7">
              <w:t>droits</w:t>
            </w:r>
            <w:proofErr w:type="spellEnd"/>
            <w:r w:rsidRPr="000248F7">
              <w:t xml:space="preserve"> et le </w:t>
            </w:r>
            <w:proofErr w:type="spellStart"/>
            <w:r w:rsidRPr="000248F7">
              <w:t>développement</w:t>
            </w:r>
            <w:proofErr w:type="spellEnd"/>
          </w:p>
        </w:tc>
        <w:tc>
          <w:tcPr>
            <w:tcW w:w="3059" w:type="dxa"/>
            <w:shd w:val="clear" w:color="auto" w:fill="C4BC96" w:themeFill="background2" w:themeFillShade="BF"/>
            <w:vAlign w:val="center"/>
          </w:tcPr>
          <w:p w:rsidR="0046365F" w:rsidRPr="00AF1F87" w:rsidRDefault="0046365F" w:rsidP="00B42027">
            <w:pPr>
              <w:jc w:val="center"/>
            </w:pPr>
            <w:proofErr w:type="spellStart"/>
            <w:r w:rsidRPr="00AF1F87">
              <w:t>Rechtliche</w:t>
            </w:r>
            <w:proofErr w:type="spellEnd"/>
            <w:r w:rsidRPr="00AF1F87">
              <w:t xml:space="preserve"> </w:t>
            </w:r>
            <w:proofErr w:type="spellStart"/>
            <w:r w:rsidRPr="00AF1F87">
              <w:t>zentrum</w:t>
            </w:r>
            <w:proofErr w:type="spellEnd"/>
            <w:r w:rsidRPr="00AF1F87">
              <w:t xml:space="preserve"> </w:t>
            </w:r>
            <w:proofErr w:type="spellStart"/>
            <w:r w:rsidRPr="00AF1F87">
              <w:t>für</w:t>
            </w:r>
            <w:proofErr w:type="spellEnd"/>
            <w:r w:rsidRPr="00AF1F87">
              <w:t xml:space="preserve"> Human </w:t>
            </w:r>
            <w:proofErr w:type="spellStart"/>
            <w:r w:rsidRPr="00AF1F87">
              <w:t>Rechte</w:t>
            </w:r>
            <w:proofErr w:type="spellEnd"/>
          </w:p>
        </w:tc>
        <w:tc>
          <w:tcPr>
            <w:tcW w:w="2752" w:type="dxa"/>
            <w:shd w:val="clear" w:color="auto" w:fill="C4BC96" w:themeFill="background2" w:themeFillShade="BF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 xml:space="preserve">Правовой центр по правам </w:t>
            </w:r>
            <w:r w:rsidRPr="00757264">
              <w:rPr>
                <w:lang w:val="ru-RU"/>
              </w:rPr>
              <w:t>человека</w:t>
            </w:r>
            <w:r>
              <w:t xml:space="preserve"> </w:t>
            </w:r>
            <w:r w:rsidRPr="00FF4839">
              <w:rPr>
                <w:lang w:val="ru-RU"/>
              </w:rPr>
              <w:t>и</w:t>
            </w:r>
            <w:r>
              <w:t xml:space="preserve"> </w:t>
            </w:r>
            <w:r w:rsidRPr="00FF4839">
              <w:rPr>
                <w:lang w:val="ru-RU"/>
              </w:rPr>
              <w:t>развитию</w:t>
            </w:r>
          </w:p>
        </w:tc>
        <w:tc>
          <w:tcPr>
            <w:tcW w:w="2518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394244">
            <w:pPr>
              <w:jc w:val="center"/>
            </w:pPr>
            <w:r w:rsidRPr="002C51C0">
              <w:t>Legal Center</w:t>
            </w:r>
            <w:r>
              <w:br/>
            </w:r>
            <w:r w:rsidRPr="002C51C0">
              <w:t xml:space="preserve"> for Rights and development</w:t>
            </w:r>
          </w:p>
        </w:tc>
        <w:tc>
          <w:tcPr>
            <w:tcW w:w="1828" w:type="dxa"/>
            <w:shd w:val="clear" w:color="auto" w:fill="C4BC96" w:themeFill="background2" w:themeFillShade="BF"/>
            <w:vAlign w:val="center"/>
          </w:tcPr>
          <w:p w:rsidR="0046365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法律权利与发展中心</w:t>
            </w:r>
            <w:proofErr w:type="spellEnd"/>
          </w:p>
          <w:p w:rsidR="0046365F" w:rsidRPr="002C51C0" w:rsidRDefault="0046365F" w:rsidP="00394244">
            <w:pPr>
              <w:jc w:val="center"/>
            </w:pPr>
          </w:p>
        </w:tc>
        <w:tc>
          <w:tcPr>
            <w:tcW w:w="1730" w:type="dxa"/>
            <w:shd w:val="clear" w:color="auto" w:fill="C4BC96" w:themeFill="background2" w:themeFillShade="BF"/>
            <w:vAlign w:val="center"/>
          </w:tcPr>
          <w:p w:rsidR="0046365F" w:rsidRDefault="0046365F" w:rsidP="00D853BF">
            <w:pPr>
              <w:jc w:val="center"/>
            </w:pPr>
            <w:r>
              <w:t xml:space="preserve">El Centro de </w:t>
            </w:r>
            <w:proofErr w:type="spellStart"/>
            <w:r>
              <w:t>Jurídica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Derechos</w:t>
            </w:r>
            <w:proofErr w:type="spellEnd"/>
            <w:r>
              <w:t xml:space="preserve"> y </w:t>
            </w:r>
            <w:proofErr w:type="spellStart"/>
            <w:r>
              <w:t>Desarrollo</w:t>
            </w:r>
            <w:proofErr w:type="spellEnd"/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D853BF">
            <w:pPr>
              <w:jc w:val="center"/>
            </w:pPr>
            <w:r w:rsidRPr="00976788">
              <w:t>Legal Center for Rights and Development</w:t>
            </w:r>
          </w:p>
        </w:tc>
        <w:tc>
          <w:tcPr>
            <w:tcW w:w="1757" w:type="dxa"/>
            <w:shd w:val="clear" w:color="auto" w:fill="C4BC96" w:themeFill="background2" w:themeFillShade="BF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>المركز القانوني للحقوق والتنمية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C4BC96" w:themeFill="background2" w:themeFillShade="BF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Default="0046365F" w:rsidP="004636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إحصائية 1000 يوم</w:t>
            </w:r>
          </w:p>
        </w:tc>
        <w:tc>
          <w:tcPr>
            <w:tcW w:w="2145" w:type="dxa"/>
            <w:shd w:val="clear" w:color="auto" w:fill="C4BC96" w:themeFill="background2" w:themeFillShade="BF"/>
            <w:vAlign w:val="center"/>
          </w:tcPr>
          <w:p w:rsidR="0046365F" w:rsidRPr="00AF1F87" w:rsidRDefault="0046365F" w:rsidP="0046365F">
            <w:pPr>
              <w:jc w:val="center"/>
            </w:pPr>
            <w:r w:rsidRPr="00AF1F87">
              <w:t>The outcome of</w:t>
            </w:r>
            <w:r>
              <w:t xml:space="preserve">  1000 Days</w:t>
            </w:r>
          </w:p>
        </w:tc>
        <w:tc>
          <w:tcPr>
            <w:tcW w:w="2145" w:type="dxa"/>
            <w:vMerge w:val="restart"/>
            <w:shd w:val="clear" w:color="auto" w:fill="C4BC96" w:themeFill="background2" w:themeFillShade="BF"/>
            <w:vAlign w:val="center"/>
          </w:tcPr>
          <w:p w:rsidR="0046365F" w:rsidRDefault="0046365F" w:rsidP="00394244">
            <w:pPr>
              <w:jc w:val="center"/>
            </w:pPr>
            <w:r>
              <w:t xml:space="preserve">La </w:t>
            </w:r>
            <w:proofErr w:type="spellStart"/>
            <w:r>
              <w:t>statistique</w:t>
            </w:r>
            <w:proofErr w:type="spellEnd"/>
            <w:r>
              <w:t xml:space="preserve"> des </w:t>
            </w:r>
            <w:proofErr w:type="spellStart"/>
            <w:r>
              <w:t>victimes</w:t>
            </w:r>
            <w:proofErr w:type="spellEnd"/>
            <w:r>
              <w:t xml:space="preserve"> et des </w:t>
            </w:r>
            <w:proofErr w:type="spellStart"/>
            <w:r>
              <w:t>dommages</w:t>
            </w:r>
            <w:proofErr w:type="spellEnd"/>
          </w:p>
          <w:p w:rsidR="0046365F" w:rsidRDefault="0046365F" w:rsidP="0046365F">
            <w:pPr>
              <w:jc w:val="center"/>
            </w:pPr>
            <w:r>
              <w:t xml:space="preserve">Les </w:t>
            </w:r>
            <w:proofErr w:type="spellStart"/>
            <w:r>
              <w:t>résultats</w:t>
            </w:r>
            <w:proofErr w:type="spellEnd"/>
            <w:r>
              <w:t xml:space="preserve"> 1000 </w:t>
            </w:r>
            <w:proofErr w:type="spellStart"/>
            <w:r>
              <w:t>jours</w:t>
            </w:r>
            <w:proofErr w:type="spellEnd"/>
            <w:r>
              <w:t xml:space="preserve">  de </w:t>
            </w:r>
            <w:proofErr w:type="spellStart"/>
            <w:r>
              <w:t>l'agression</w:t>
            </w:r>
            <w:proofErr w:type="spellEnd"/>
            <w:r>
              <w:t xml:space="preserve"> de </w:t>
            </w:r>
            <w:proofErr w:type="spellStart"/>
            <w:r>
              <w:t>l'Arabie</w:t>
            </w:r>
            <w:proofErr w:type="spellEnd"/>
            <w:r>
              <w:t xml:space="preserve"> </w:t>
            </w:r>
            <w:proofErr w:type="spellStart"/>
            <w:r>
              <w:t>saoudite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  <w:r>
              <w:t xml:space="preserve"> le </w:t>
            </w:r>
            <w:proofErr w:type="spellStart"/>
            <w:r>
              <w:t>Yémen</w:t>
            </w:r>
            <w:proofErr w:type="spellEnd"/>
          </w:p>
        </w:tc>
        <w:tc>
          <w:tcPr>
            <w:tcW w:w="3059" w:type="dxa"/>
            <w:shd w:val="clear" w:color="auto" w:fill="C4BC96" w:themeFill="background2" w:themeFillShade="BF"/>
            <w:vAlign w:val="center"/>
          </w:tcPr>
          <w:p w:rsidR="0046365F" w:rsidRPr="00EC5460" w:rsidRDefault="0046365F" w:rsidP="0046365F">
            <w:pPr>
              <w:jc w:val="center"/>
              <w:rPr>
                <w:rFonts w:cs="Courier New"/>
              </w:rPr>
            </w:pPr>
            <w:r w:rsidRPr="00B42027">
              <w:rPr>
                <w:rFonts w:asciiTheme="minorHAnsi" w:hAnsiTheme="minorHAnsi" w:cstheme="minorHAnsi"/>
              </w:rPr>
              <w:t xml:space="preserve">Der Stand </w:t>
            </w:r>
            <w:proofErr w:type="spellStart"/>
            <w:r w:rsidRPr="00B42027">
              <w:rPr>
                <w:rFonts w:asciiTheme="minorHAnsi" w:hAnsiTheme="minorHAnsi" w:cstheme="minorHAnsi"/>
              </w:rPr>
              <w:t>nach</w:t>
            </w:r>
            <w:proofErr w:type="spellEnd"/>
            <w:r w:rsidRPr="00B42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1000</w:t>
            </w:r>
            <w:r w:rsidRPr="00B420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2027">
              <w:rPr>
                <w:rFonts w:asciiTheme="minorHAnsi" w:hAnsiTheme="minorHAnsi" w:cstheme="minorHAnsi"/>
              </w:rPr>
              <w:t>Tagen</w:t>
            </w:r>
            <w:proofErr w:type="spellEnd"/>
          </w:p>
        </w:tc>
        <w:tc>
          <w:tcPr>
            <w:tcW w:w="2752" w:type="dxa"/>
            <w:shd w:val="clear" w:color="auto" w:fill="C4BC96" w:themeFill="background2" w:themeFillShade="BF"/>
            <w:vAlign w:val="center"/>
          </w:tcPr>
          <w:p w:rsidR="0046365F" w:rsidRPr="00B12E40" w:rsidRDefault="0046365F" w:rsidP="0046365F">
            <w:pPr>
              <w:jc w:val="center"/>
            </w:pPr>
            <w:proofErr w:type="spellStart"/>
            <w:r>
              <w:t>Статистический</w:t>
            </w:r>
            <w:proofErr w:type="spellEnd"/>
            <w:r>
              <w:t xml:space="preserve"> 1000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shd w:val="clear" w:color="auto" w:fill="C4BC96" w:themeFill="background2" w:themeFillShade="BF"/>
            <w:vAlign w:val="center"/>
          </w:tcPr>
          <w:p w:rsidR="0046365F" w:rsidRDefault="0046365F" w:rsidP="0046365F">
            <w:pPr>
              <w:jc w:val="center"/>
            </w:pPr>
            <w:proofErr w:type="spellStart"/>
            <w:r w:rsidRPr="002C51C0">
              <w:t>Resultatet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av</w:t>
            </w:r>
            <w:proofErr w:type="spellEnd"/>
            <w:r>
              <w:t xml:space="preserve"> 1000 </w:t>
            </w:r>
            <w:proofErr w:type="spellStart"/>
            <w:r w:rsidRPr="002C51C0">
              <w:t>Dagar</w:t>
            </w:r>
            <w:proofErr w:type="spellEnd"/>
          </w:p>
          <w:p w:rsidR="0046365F" w:rsidRPr="002C51C0" w:rsidRDefault="0046365F" w:rsidP="00394244">
            <w:pPr>
              <w:jc w:val="center"/>
            </w:pPr>
          </w:p>
        </w:tc>
        <w:tc>
          <w:tcPr>
            <w:tcW w:w="1828" w:type="dxa"/>
            <w:shd w:val="clear" w:color="auto" w:fill="C4BC96" w:themeFill="background2" w:themeFillShade="BF"/>
            <w:vAlign w:val="center"/>
          </w:tcPr>
          <w:p w:rsidR="0046365F" w:rsidRDefault="0046365F" w:rsidP="0046365F">
            <w:pPr>
              <w:jc w:val="center"/>
            </w:pPr>
            <w:r>
              <w:rPr>
                <w:rFonts w:ascii="NanumGothic" w:eastAsia="NanumGothic" w:hAnsi="NanumGothic"/>
                <w:sz w:val="20"/>
                <w:szCs w:val="20"/>
              </w:rPr>
              <w:t>结果为</w:t>
            </w:r>
            <w:r>
              <w:rPr>
                <w:rFonts w:ascii="NanumGothic" w:eastAsia="NanumGothic" w:hAnsi="NanumGothic"/>
              </w:rPr>
              <w:t xml:space="preserve">1000 </w:t>
            </w:r>
            <w:r>
              <w:rPr>
                <w:rFonts w:ascii="NanumGothic" w:eastAsia="NanumGothic" w:hAnsi="NanumGothic"/>
                <w:sz w:val="20"/>
                <w:szCs w:val="20"/>
              </w:rPr>
              <w:t>天</w:t>
            </w:r>
          </w:p>
          <w:p w:rsidR="0046365F" w:rsidRDefault="0046365F" w:rsidP="00394244">
            <w:pPr>
              <w:jc w:val="center"/>
              <w:rPr>
                <w:rFonts w:ascii="NanumGothic" w:eastAsia="NanumGothic" w:hAnsi="NanumGothic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  <w:vAlign w:val="center"/>
          </w:tcPr>
          <w:p w:rsidR="0046365F" w:rsidRDefault="0046365F" w:rsidP="0046365F">
            <w:pPr>
              <w:jc w:val="center"/>
            </w:pPr>
            <w:proofErr w:type="spellStart"/>
            <w:r>
              <w:t>Estadística</w:t>
            </w:r>
            <w:proofErr w:type="spellEnd"/>
            <w:r>
              <w:t xml:space="preserve"> de 1000 </w:t>
            </w:r>
            <w:proofErr w:type="spellStart"/>
            <w:r>
              <w:t>días</w:t>
            </w:r>
            <w:proofErr w:type="spellEnd"/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46365F">
            <w:pPr>
              <w:jc w:val="center"/>
            </w:pPr>
            <w:r w:rsidRPr="00976788">
              <w:t xml:space="preserve">Il </w:t>
            </w:r>
            <w:proofErr w:type="spellStart"/>
            <w:r w:rsidRPr="00976788">
              <w:t>risultato</w:t>
            </w:r>
            <w:proofErr w:type="spellEnd"/>
            <w:r w:rsidRPr="00976788">
              <w:t xml:space="preserve"> di </w:t>
            </w:r>
            <w:r>
              <w:t>1000</w:t>
            </w:r>
            <w:r w:rsidRPr="00976788">
              <w:t xml:space="preserve"> </w:t>
            </w:r>
            <w:proofErr w:type="spellStart"/>
            <w:r w:rsidRPr="00976788">
              <w:t>giorni</w:t>
            </w:r>
            <w:proofErr w:type="spellEnd"/>
          </w:p>
        </w:tc>
        <w:tc>
          <w:tcPr>
            <w:tcW w:w="1757" w:type="dxa"/>
            <w:shd w:val="clear" w:color="auto" w:fill="C4BC96" w:themeFill="background2" w:themeFillShade="BF"/>
            <w:vAlign w:val="center"/>
          </w:tcPr>
          <w:p w:rsidR="0046365F" w:rsidRDefault="0046365F" w:rsidP="0046365F">
            <w:pPr>
              <w:bidi/>
              <w:jc w:val="center"/>
            </w:pPr>
            <w:proofErr w:type="spellStart"/>
            <w:r>
              <w:rPr>
                <w:rtl/>
              </w:rPr>
              <w:t>نتایج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1000</w:t>
            </w:r>
            <w:r>
              <w:rPr>
                <w:rtl/>
              </w:rPr>
              <w:t xml:space="preserve"> روز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C4BC96" w:themeFill="background2" w:themeFillShade="BF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جرائم السعودية وتحالفها في اليمن</w:t>
            </w:r>
          </w:p>
        </w:tc>
        <w:tc>
          <w:tcPr>
            <w:tcW w:w="2145" w:type="dxa"/>
            <w:shd w:val="clear" w:color="auto" w:fill="C4BC96" w:themeFill="background2" w:themeFillShade="BF"/>
            <w:vAlign w:val="center"/>
          </w:tcPr>
          <w:p w:rsidR="0046365F" w:rsidRPr="00620B63" w:rsidRDefault="0046365F" w:rsidP="00394244">
            <w:pPr>
              <w:jc w:val="center"/>
            </w:pPr>
            <w:r w:rsidRPr="009E7259">
              <w:t>Statistics of Casualties and Damages that Caused By Saudi Aggression in Yemen</w:t>
            </w:r>
          </w:p>
        </w:tc>
        <w:tc>
          <w:tcPr>
            <w:tcW w:w="2145" w:type="dxa"/>
            <w:vMerge/>
            <w:shd w:val="clear" w:color="auto" w:fill="C4BC96" w:themeFill="background2" w:themeFillShade="BF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3059" w:type="dxa"/>
            <w:shd w:val="clear" w:color="auto" w:fill="C4BC96" w:themeFill="background2" w:themeFillShade="BF"/>
            <w:vAlign w:val="center"/>
          </w:tcPr>
          <w:p w:rsidR="0046365F" w:rsidRPr="00255FC2" w:rsidRDefault="0046365F" w:rsidP="00B42027">
            <w:pPr>
              <w:jc w:val="center"/>
            </w:pPr>
            <w:proofErr w:type="spellStart"/>
            <w:r w:rsidRPr="00B42027">
              <w:t>Statistik</w:t>
            </w:r>
            <w:proofErr w:type="spellEnd"/>
            <w:r w:rsidRPr="00B42027">
              <w:t xml:space="preserve"> der </w:t>
            </w:r>
            <w:proofErr w:type="spellStart"/>
            <w:r w:rsidRPr="00B42027">
              <w:t>Opfer</w:t>
            </w:r>
            <w:proofErr w:type="spellEnd"/>
            <w:r w:rsidRPr="00B42027">
              <w:t xml:space="preserve"> und </w:t>
            </w:r>
            <w:proofErr w:type="spellStart"/>
            <w:r w:rsidRPr="00B42027">
              <w:t>Zerstörung</w:t>
            </w:r>
            <w:proofErr w:type="spellEnd"/>
            <w:r w:rsidRPr="00B42027">
              <w:t xml:space="preserve"> </w:t>
            </w:r>
            <w:proofErr w:type="spellStart"/>
            <w:r w:rsidRPr="00B42027">
              <w:t>durch</w:t>
            </w:r>
            <w:proofErr w:type="spellEnd"/>
            <w:r w:rsidRPr="00B42027">
              <w:t xml:space="preserve"> die </w:t>
            </w:r>
            <w:proofErr w:type="spellStart"/>
            <w:r w:rsidRPr="00B42027">
              <w:t>saudischen</w:t>
            </w:r>
            <w:proofErr w:type="spellEnd"/>
            <w:r w:rsidRPr="00B42027">
              <w:t xml:space="preserve"> </w:t>
            </w:r>
            <w:proofErr w:type="spellStart"/>
            <w:r w:rsidRPr="00B42027">
              <w:t>Angriffe</w:t>
            </w:r>
            <w:proofErr w:type="spellEnd"/>
            <w:r w:rsidRPr="00B42027">
              <w:t xml:space="preserve"> </w:t>
            </w:r>
            <w:proofErr w:type="spellStart"/>
            <w:r w:rsidRPr="00B42027">
              <w:t>im</w:t>
            </w:r>
            <w:proofErr w:type="spellEnd"/>
            <w:r w:rsidRPr="00B42027">
              <w:t xml:space="preserve"> </w:t>
            </w:r>
            <w:proofErr w:type="spellStart"/>
            <w:r w:rsidRPr="00B42027">
              <w:t>Jemen</w:t>
            </w:r>
            <w:proofErr w:type="spellEnd"/>
          </w:p>
        </w:tc>
        <w:tc>
          <w:tcPr>
            <w:tcW w:w="2752" w:type="dxa"/>
            <w:shd w:val="clear" w:color="auto" w:fill="C4BC96" w:themeFill="background2" w:themeFillShade="BF"/>
            <w:vAlign w:val="center"/>
          </w:tcPr>
          <w:p w:rsidR="0046365F" w:rsidRPr="00B12E40" w:rsidRDefault="0046365F" w:rsidP="00F77852">
            <w:pPr>
              <w:jc w:val="center"/>
            </w:pPr>
            <w:proofErr w:type="spellStart"/>
            <w:r>
              <w:t>Преступления</w:t>
            </w:r>
            <w:proofErr w:type="spellEnd"/>
            <w:r>
              <w:t xml:space="preserve"> </w:t>
            </w:r>
            <w:proofErr w:type="spellStart"/>
            <w:r>
              <w:t>Саудовской</w:t>
            </w:r>
            <w:proofErr w:type="spellEnd"/>
            <w:r>
              <w:t xml:space="preserve"> </w:t>
            </w:r>
            <w:proofErr w:type="spellStart"/>
            <w:r>
              <w:t>Аравии</w:t>
            </w:r>
            <w:proofErr w:type="spellEnd"/>
            <w:r>
              <w:t xml:space="preserve"> и </w:t>
            </w:r>
            <w:proofErr w:type="spellStart"/>
            <w:r>
              <w:t>ее</w:t>
            </w:r>
            <w:proofErr w:type="spellEnd"/>
            <w:r>
              <w:t xml:space="preserve"> </w:t>
            </w:r>
            <w:proofErr w:type="spellStart"/>
            <w:r>
              <w:t>союз</w:t>
            </w:r>
            <w:proofErr w:type="spellEnd"/>
            <w:r>
              <w:t xml:space="preserve"> в </w:t>
            </w:r>
            <w:proofErr w:type="spellStart"/>
            <w:r>
              <w:t>Йемене</w:t>
            </w:r>
            <w:proofErr w:type="spellEnd"/>
          </w:p>
        </w:tc>
        <w:tc>
          <w:tcPr>
            <w:tcW w:w="2518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2C51C0">
              <w:t>Statistik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över</w:t>
            </w:r>
            <w:proofErr w:type="spellEnd"/>
            <w:r w:rsidRPr="002C51C0">
              <w:t xml:space="preserve"> offer </w:t>
            </w:r>
            <w:proofErr w:type="spellStart"/>
            <w:r w:rsidRPr="002C51C0">
              <w:t>och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skador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orsakade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av</w:t>
            </w:r>
            <w:proofErr w:type="spellEnd"/>
            <w:r w:rsidRPr="002C51C0">
              <w:t xml:space="preserve"> </w:t>
            </w:r>
            <w:proofErr w:type="spellStart"/>
            <w:r w:rsidRPr="002C51C0">
              <w:t>Saudiarabiens</w:t>
            </w:r>
            <w:proofErr w:type="spellEnd"/>
            <w:r w:rsidRPr="002C51C0">
              <w:t xml:space="preserve"> aggression mot </w:t>
            </w:r>
            <w:proofErr w:type="spellStart"/>
            <w:r w:rsidRPr="002C51C0">
              <w:t>Jemen</w:t>
            </w:r>
            <w:proofErr w:type="spellEnd"/>
          </w:p>
        </w:tc>
        <w:tc>
          <w:tcPr>
            <w:tcW w:w="1828" w:type="dxa"/>
            <w:shd w:val="clear" w:color="auto" w:fill="C4BC96" w:themeFill="background2" w:themeFillShade="BF"/>
            <w:vAlign w:val="center"/>
          </w:tcPr>
          <w:p w:rsidR="0046365F" w:rsidRPr="002C51C0" w:rsidRDefault="0046365F" w:rsidP="00394244">
            <w:pPr>
              <w:jc w:val="center"/>
            </w:pP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在也门沙特的侵略导致的损害</w:t>
            </w:r>
            <w:proofErr w:type="spellEnd"/>
          </w:p>
        </w:tc>
        <w:tc>
          <w:tcPr>
            <w:tcW w:w="1730" w:type="dxa"/>
            <w:shd w:val="clear" w:color="auto" w:fill="C4BC96" w:themeFill="background2" w:themeFillShade="BF"/>
            <w:vAlign w:val="center"/>
          </w:tcPr>
          <w:p w:rsidR="0046365F" w:rsidRDefault="0046365F" w:rsidP="00D853BF">
            <w:pPr>
              <w:jc w:val="center"/>
            </w:pPr>
            <w:r>
              <w:t xml:space="preserve">De </w:t>
            </w:r>
            <w:proofErr w:type="spellStart"/>
            <w:r>
              <w:t>crímenes</w:t>
            </w:r>
            <w:proofErr w:type="spellEnd"/>
            <w:r>
              <w:t xml:space="preserve"> de la </w:t>
            </w:r>
            <w:proofErr w:type="spellStart"/>
            <w:r>
              <w:t>coalición</w:t>
            </w:r>
            <w:proofErr w:type="spellEnd"/>
            <w:r>
              <w:t xml:space="preserve"> </w:t>
            </w:r>
            <w:proofErr w:type="spellStart"/>
            <w:r>
              <w:t>liderada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Arabia </w:t>
            </w:r>
            <w:proofErr w:type="spellStart"/>
            <w:r>
              <w:t>Saudita</w:t>
            </w:r>
            <w:proofErr w:type="spellEnd"/>
            <w:r>
              <w:t xml:space="preserve"> en Yemen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46365F" w:rsidRPr="00CE6561" w:rsidRDefault="0046365F" w:rsidP="00D853BF">
            <w:pPr>
              <w:jc w:val="center"/>
            </w:pPr>
            <w:proofErr w:type="spellStart"/>
            <w:r w:rsidRPr="00976788">
              <w:t>Statistiche</w:t>
            </w:r>
            <w:proofErr w:type="spellEnd"/>
            <w:r w:rsidRPr="00976788">
              <w:t xml:space="preserve"> relative </w:t>
            </w:r>
            <w:proofErr w:type="spellStart"/>
            <w:r w:rsidRPr="00976788">
              <w:t>alle</w:t>
            </w:r>
            <w:proofErr w:type="spellEnd"/>
            <w:r w:rsidRPr="00976788">
              <w:t xml:space="preserve"> </w:t>
            </w:r>
            <w:proofErr w:type="spellStart"/>
            <w:r w:rsidRPr="00976788">
              <w:t>morti</w:t>
            </w:r>
            <w:proofErr w:type="spellEnd"/>
            <w:r w:rsidRPr="00976788">
              <w:t xml:space="preserve"> e </w:t>
            </w:r>
            <w:proofErr w:type="spellStart"/>
            <w:r w:rsidRPr="00976788">
              <w:t>danni</w:t>
            </w:r>
            <w:proofErr w:type="spellEnd"/>
            <w:r w:rsidRPr="00976788">
              <w:t xml:space="preserve"> </w:t>
            </w:r>
            <w:proofErr w:type="spellStart"/>
            <w:r w:rsidRPr="00976788">
              <w:t>causati</w:t>
            </w:r>
            <w:proofErr w:type="spellEnd"/>
            <w:r w:rsidRPr="00976788">
              <w:t xml:space="preserve"> </w:t>
            </w:r>
            <w:proofErr w:type="spellStart"/>
            <w:r w:rsidRPr="00976788">
              <w:t>dall’aggressione</w:t>
            </w:r>
            <w:proofErr w:type="spellEnd"/>
            <w:r w:rsidRPr="00976788">
              <w:t xml:space="preserve"> </w:t>
            </w:r>
            <w:proofErr w:type="spellStart"/>
            <w:r w:rsidRPr="00976788">
              <w:t>saudita</w:t>
            </w:r>
            <w:proofErr w:type="spellEnd"/>
            <w:r w:rsidRPr="00976788">
              <w:t xml:space="preserve"> </w:t>
            </w:r>
            <w:proofErr w:type="spellStart"/>
            <w:r w:rsidRPr="00976788">
              <w:t>nello</w:t>
            </w:r>
            <w:proofErr w:type="spellEnd"/>
            <w:r w:rsidRPr="00976788">
              <w:t xml:space="preserve"> Yemen</w:t>
            </w:r>
          </w:p>
        </w:tc>
        <w:tc>
          <w:tcPr>
            <w:tcW w:w="1757" w:type="dxa"/>
            <w:shd w:val="clear" w:color="auto" w:fill="C4BC96" w:themeFill="background2" w:themeFillShade="BF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جنایت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های</w:t>
            </w:r>
            <w:proofErr w:type="spellEnd"/>
            <w:r>
              <w:rPr>
                <w:rtl/>
              </w:rPr>
              <w:t xml:space="preserve"> ائتلاف </w:t>
            </w:r>
            <w:proofErr w:type="spellStart"/>
            <w:r>
              <w:rPr>
                <w:rtl/>
              </w:rPr>
              <w:t>نظامی</w:t>
            </w:r>
            <w:proofErr w:type="spellEnd"/>
            <w:r>
              <w:rPr>
                <w:rtl/>
              </w:rPr>
              <w:t xml:space="preserve"> عربستان در </w:t>
            </w:r>
            <w:proofErr w:type="spellStart"/>
            <w:r>
              <w:rPr>
                <w:rtl/>
              </w:rPr>
              <w:t>یمن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D9D9D9" w:themeFill="background1" w:themeFillShade="D9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الضحايا المدنيين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Default="0046365F" w:rsidP="00394244">
            <w:pPr>
              <w:jc w:val="center"/>
            </w:pPr>
            <w:r w:rsidRPr="00620B63">
              <w:t>Civilian Casualties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  <w:r w:rsidRPr="000248F7">
              <w:t>Civilian</w:t>
            </w:r>
            <w:r>
              <w:t xml:space="preserve"> </w:t>
            </w:r>
            <w:r w:rsidRPr="000248F7">
              <w:t>Casualties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B42027">
            <w:pPr>
              <w:jc w:val="center"/>
            </w:pPr>
            <w:proofErr w:type="spellStart"/>
            <w:r w:rsidRPr="00255FC2">
              <w:t>Zivilen</w:t>
            </w:r>
            <w:proofErr w:type="spellEnd"/>
            <w:r>
              <w:t xml:space="preserve"> </w:t>
            </w:r>
            <w:proofErr w:type="spellStart"/>
            <w:r w:rsidRPr="00255FC2">
              <w:t>Opfer</w:t>
            </w:r>
            <w:proofErr w:type="spellEnd"/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Потери среди гражданского населения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2C51C0">
              <w:t>Civila</w:t>
            </w:r>
            <w:proofErr w:type="spellEnd"/>
            <w:r w:rsidRPr="002C51C0">
              <w:t xml:space="preserve"> offer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6365F" w:rsidRPr="002C51C0" w:rsidRDefault="0046365F" w:rsidP="00394244">
            <w:pPr>
              <w:jc w:val="center"/>
            </w:pP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平民的伤亡</w:t>
            </w:r>
            <w:proofErr w:type="spellEnd"/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6365F" w:rsidRDefault="0046365F" w:rsidP="00D853BF">
            <w:pPr>
              <w:jc w:val="center"/>
            </w:pPr>
            <w:proofErr w:type="spellStart"/>
            <w:r>
              <w:t>Víctimas</w:t>
            </w:r>
            <w:proofErr w:type="spellEnd"/>
            <w:r>
              <w:t xml:space="preserve"> </w:t>
            </w:r>
            <w:proofErr w:type="spellStart"/>
            <w:r>
              <w:t>Civiles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D853BF">
            <w:pPr>
              <w:jc w:val="center"/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تلفات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غیرنظامیان</w:t>
            </w:r>
            <w:proofErr w:type="spellEnd"/>
            <w:r>
              <w:rPr>
                <w:rtl/>
              </w:rPr>
              <w:t xml:space="preserve">  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13,603</w:t>
            </w:r>
          </w:p>
        </w:tc>
        <w:tc>
          <w:tcPr>
            <w:tcW w:w="1842" w:type="dxa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القتلى</w:t>
            </w:r>
          </w:p>
        </w:tc>
        <w:tc>
          <w:tcPr>
            <w:tcW w:w="2145" w:type="dxa"/>
            <w:vAlign w:val="center"/>
          </w:tcPr>
          <w:p w:rsidR="0046365F" w:rsidRDefault="0046365F" w:rsidP="00394244">
            <w:pPr>
              <w:jc w:val="center"/>
            </w:pPr>
            <w:r>
              <w:t>Killed</w:t>
            </w:r>
          </w:p>
        </w:tc>
        <w:tc>
          <w:tcPr>
            <w:tcW w:w="2145" w:type="dxa"/>
            <w:vAlign w:val="center"/>
          </w:tcPr>
          <w:p w:rsidR="0046365F" w:rsidRPr="00CE6561" w:rsidRDefault="0046365F" w:rsidP="00394244">
            <w:pPr>
              <w:jc w:val="center"/>
            </w:pPr>
            <w:r w:rsidRPr="000248F7">
              <w:t xml:space="preserve">Mort </w:t>
            </w:r>
            <w:proofErr w:type="spellStart"/>
            <w:r w:rsidRPr="000248F7">
              <w:t>civiles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CE6561" w:rsidRDefault="0046365F" w:rsidP="00B42027">
            <w:pPr>
              <w:jc w:val="center"/>
            </w:pPr>
            <w:proofErr w:type="spellStart"/>
            <w:r w:rsidRPr="0065331F">
              <w:t>Todesopfer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погибшие</w:t>
            </w:r>
          </w:p>
        </w:tc>
        <w:tc>
          <w:tcPr>
            <w:tcW w:w="2518" w:type="dxa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2C51C0">
              <w:t>Dödande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2C51C0" w:rsidRDefault="0046365F" w:rsidP="00394244">
            <w:pPr>
              <w:jc w:val="center"/>
            </w:pP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杀死的人</w:t>
            </w:r>
            <w:proofErr w:type="spellEnd"/>
          </w:p>
        </w:tc>
        <w:tc>
          <w:tcPr>
            <w:tcW w:w="1730" w:type="dxa"/>
            <w:vAlign w:val="center"/>
          </w:tcPr>
          <w:p w:rsidR="0046365F" w:rsidRDefault="0046365F" w:rsidP="00D853BF">
            <w:pPr>
              <w:jc w:val="center"/>
            </w:pPr>
            <w:proofErr w:type="spellStart"/>
            <w:r>
              <w:t>Muertos</w:t>
            </w:r>
            <w:proofErr w:type="spellEnd"/>
            <w:r>
              <w:t xml:space="preserve"> - </w:t>
            </w:r>
            <w:proofErr w:type="spellStart"/>
            <w:r>
              <w:t>Fallecidos</w:t>
            </w:r>
            <w:proofErr w:type="spellEnd"/>
          </w:p>
        </w:tc>
        <w:tc>
          <w:tcPr>
            <w:tcW w:w="1842" w:type="dxa"/>
            <w:vAlign w:val="center"/>
          </w:tcPr>
          <w:p w:rsidR="0046365F" w:rsidRPr="00CE6561" w:rsidRDefault="0046365F" w:rsidP="00D853BF">
            <w:pPr>
              <w:jc w:val="center"/>
            </w:pPr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شهید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21,812</w:t>
            </w:r>
          </w:p>
        </w:tc>
        <w:tc>
          <w:tcPr>
            <w:tcW w:w="1842" w:type="dxa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الجرحى</w:t>
            </w:r>
          </w:p>
        </w:tc>
        <w:tc>
          <w:tcPr>
            <w:tcW w:w="2145" w:type="dxa"/>
            <w:vAlign w:val="center"/>
          </w:tcPr>
          <w:p w:rsidR="0046365F" w:rsidRDefault="0046365F" w:rsidP="00394244">
            <w:pPr>
              <w:jc w:val="center"/>
            </w:pPr>
            <w:r>
              <w:t>Wounded</w:t>
            </w:r>
          </w:p>
        </w:tc>
        <w:tc>
          <w:tcPr>
            <w:tcW w:w="2145" w:type="dxa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0248F7">
              <w:t>Blessées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CE6561" w:rsidRDefault="0046365F" w:rsidP="00B42027">
            <w:pPr>
              <w:jc w:val="center"/>
            </w:pPr>
            <w:proofErr w:type="spellStart"/>
            <w:r w:rsidRPr="0065331F">
              <w:t>Verletzte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раненые</w:t>
            </w:r>
          </w:p>
        </w:tc>
        <w:tc>
          <w:tcPr>
            <w:tcW w:w="2518" w:type="dxa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2C51C0">
              <w:t>Sårade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2C51C0" w:rsidRDefault="0046365F" w:rsidP="00394244">
            <w:pPr>
              <w:jc w:val="center"/>
            </w:pPr>
            <w:proofErr w:type="spellStart"/>
            <w:r>
              <w:rPr>
                <w:rFonts w:ascii="NanumGothic" w:eastAsia="NanumGothic" w:hAnsi="NanumGothic"/>
                <w:sz w:val="20"/>
                <w:szCs w:val="20"/>
              </w:rPr>
              <w:t>受伤的人</w:t>
            </w:r>
            <w:proofErr w:type="spellEnd"/>
          </w:p>
        </w:tc>
        <w:tc>
          <w:tcPr>
            <w:tcW w:w="1730" w:type="dxa"/>
            <w:vAlign w:val="center"/>
          </w:tcPr>
          <w:p w:rsidR="0046365F" w:rsidRDefault="0046365F" w:rsidP="00D853BF">
            <w:pPr>
              <w:jc w:val="center"/>
            </w:pPr>
            <w:proofErr w:type="spellStart"/>
            <w:r>
              <w:t>Heridos</w:t>
            </w:r>
            <w:proofErr w:type="spellEnd"/>
          </w:p>
        </w:tc>
        <w:tc>
          <w:tcPr>
            <w:tcW w:w="1842" w:type="dxa"/>
            <w:vAlign w:val="center"/>
          </w:tcPr>
          <w:p w:rsidR="0046365F" w:rsidRPr="00CE6561" w:rsidRDefault="0046365F" w:rsidP="00D853BF">
            <w:pPr>
              <w:jc w:val="center"/>
            </w:pPr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>مجروحان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6365F" w:rsidRDefault="0046365F" w:rsidP="00394244">
            <w:pPr>
              <w:bidi/>
              <w:jc w:val="center"/>
              <w:rPr>
                <w:rFonts w:hint="cs"/>
                <w:sz w:val="26"/>
                <w:szCs w:val="26"/>
                <w:rtl/>
              </w:rPr>
            </w:pPr>
            <w:r w:rsidRPr="0046365F">
              <w:rPr>
                <w:sz w:val="26"/>
                <w:szCs w:val="26"/>
                <w:rtl/>
              </w:rPr>
              <w:t>2,650,000</w:t>
            </w:r>
          </w:p>
        </w:tc>
        <w:tc>
          <w:tcPr>
            <w:tcW w:w="1842" w:type="dxa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نازحين</w:t>
            </w:r>
          </w:p>
        </w:tc>
        <w:tc>
          <w:tcPr>
            <w:tcW w:w="2145" w:type="dxa"/>
            <w:vAlign w:val="center"/>
          </w:tcPr>
          <w:p w:rsidR="0046365F" w:rsidRPr="00F31222" w:rsidRDefault="0046365F" w:rsidP="00394244">
            <w:pPr>
              <w:jc w:val="center"/>
            </w:pPr>
            <w:r w:rsidRPr="00D61715">
              <w:t>Displaced People</w:t>
            </w:r>
          </w:p>
        </w:tc>
        <w:tc>
          <w:tcPr>
            <w:tcW w:w="2145" w:type="dxa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0248F7">
              <w:t>Déplacées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CE6561" w:rsidRDefault="0046365F" w:rsidP="00B42027">
            <w:pPr>
              <w:jc w:val="center"/>
            </w:pPr>
            <w:proofErr w:type="spellStart"/>
            <w:r w:rsidRPr="00255FC2">
              <w:t>Auswanderern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5663E1">
              <w:rPr>
                <w:lang w:val="ru-RU"/>
              </w:rPr>
              <w:t>ВЫНУЖДЕННЫЕ ПЕРЕСЕЛЕНЦЫ</w:t>
            </w:r>
          </w:p>
        </w:tc>
        <w:tc>
          <w:tcPr>
            <w:tcW w:w="2518" w:type="dxa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828" w:type="dxa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730" w:type="dxa"/>
            <w:vAlign w:val="center"/>
          </w:tcPr>
          <w:p w:rsidR="0046365F" w:rsidRDefault="0046365F" w:rsidP="00D853BF">
            <w:pPr>
              <w:jc w:val="center"/>
            </w:pPr>
            <w:proofErr w:type="spellStart"/>
            <w:r>
              <w:t>Desplazados</w:t>
            </w:r>
            <w:proofErr w:type="spellEnd"/>
          </w:p>
        </w:tc>
        <w:tc>
          <w:tcPr>
            <w:tcW w:w="1842" w:type="dxa"/>
            <w:vAlign w:val="center"/>
          </w:tcPr>
          <w:p w:rsidR="0046365F" w:rsidRPr="00CE6561" w:rsidRDefault="0046365F" w:rsidP="00D853BF">
            <w:pPr>
              <w:jc w:val="center"/>
            </w:pPr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D9D9D9" w:themeFill="background1" w:themeFillShade="D9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المنشآت المدنية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Default="0046365F" w:rsidP="00394244">
            <w:pPr>
              <w:jc w:val="center"/>
            </w:pPr>
            <w:r>
              <w:t>Civilian facilities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B42027">
            <w:pPr>
              <w:jc w:val="center"/>
            </w:pP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Гражданские объекты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6365F" w:rsidRDefault="0046365F" w:rsidP="00D853BF">
            <w:pPr>
              <w:jc w:val="center"/>
            </w:pPr>
            <w:proofErr w:type="spellStart"/>
            <w:r>
              <w:t>Facilidades</w:t>
            </w:r>
            <w:proofErr w:type="spellEnd"/>
            <w:r>
              <w:t xml:space="preserve"> </w:t>
            </w:r>
            <w:proofErr w:type="spellStart"/>
            <w:r>
              <w:t>Civiles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D853BF">
            <w:pPr>
              <w:jc w:val="center"/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6365F" w:rsidRDefault="0046365F">
            <w:pPr>
              <w:bidi/>
              <w:jc w:val="center"/>
            </w:pPr>
          </w:p>
        </w:tc>
      </w:tr>
      <w:tr w:rsidR="0046365F" w:rsidTr="0046365F">
        <w:trPr>
          <w:jc w:val="center"/>
        </w:trPr>
        <w:tc>
          <w:tcPr>
            <w:tcW w:w="1436" w:type="dxa"/>
            <w:shd w:val="clear" w:color="auto" w:fill="D9D9D9" w:themeFill="background1" w:themeFillShade="D9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دول العدوان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Violators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0248F7">
              <w:t>Violateur</w:t>
            </w:r>
            <w:proofErr w:type="spellEnd"/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B42027">
            <w:pPr>
              <w:jc w:val="center"/>
            </w:pP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Государства агрессии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6365F" w:rsidRPr="00CE6561" w:rsidRDefault="0046365F" w:rsidP="00394244">
            <w:pPr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6365F" w:rsidRDefault="0046365F" w:rsidP="00D853BF">
            <w:pPr>
              <w:jc w:val="left"/>
            </w:pPr>
            <w:r>
              <w:t xml:space="preserve">    .     </w:t>
            </w:r>
            <w:proofErr w:type="spellStart"/>
            <w:r>
              <w:t>Estados</w:t>
            </w:r>
            <w:proofErr w:type="spellEnd"/>
            <w:r>
              <w:t xml:space="preserve"> de la </w:t>
            </w:r>
            <w:proofErr w:type="spellStart"/>
            <w:r>
              <w:t>agresión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Aggressori</w:t>
            </w:r>
            <w:proofErr w:type="spellEnd"/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6365F" w:rsidRDefault="0046365F">
            <w:pPr>
              <w:bidi/>
              <w:jc w:val="center"/>
            </w:pP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15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مطار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Airports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proofErr w:type="spellStart"/>
            <w:r w:rsidRPr="00FE6289">
              <w:t>Aéroports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06680B" w:rsidRDefault="0046365F" w:rsidP="00B42027">
            <w:pPr>
              <w:jc w:val="center"/>
            </w:pPr>
            <w:proofErr w:type="spellStart"/>
            <w:r w:rsidRPr="0065331F">
              <w:t>Flughäfen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Аэропорты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Flygplatser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机场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Aeropuertos</w:t>
            </w:r>
            <w:proofErr w:type="spellEnd"/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Aeroporti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فرودگاه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ميناء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Ports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r w:rsidRPr="00FE6289">
              <w:t>Ports and harbors</w:t>
            </w:r>
          </w:p>
        </w:tc>
        <w:tc>
          <w:tcPr>
            <w:tcW w:w="3059" w:type="dxa"/>
            <w:vAlign w:val="center"/>
          </w:tcPr>
          <w:p w:rsidR="0046365F" w:rsidRPr="0006680B" w:rsidRDefault="0046365F" w:rsidP="00B42027">
            <w:pPr>
              <w:jc w:val="center"/>
            </w:pPr>
            <w:proofErr w:type="spellStart"/>
            <w:r w:rsidRPr="0065331F">
              <w:t>Häfen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Порты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Hamnar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港口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Puertos</w:t>
            </w:r>
            <w:proofErr w:type="spellEnd"/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Porti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>بندر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174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محطة ومولد كهرباء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Stations and Power Generators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r w:rsidRPr="00FE6289">
              <w:t xml:space="preserve">Stations et </w:t>
            </w:r>
            <w:proofErr w:type="spellStart"/>
            <w:r w:rsidRPr="00FE6289">
              <w:t>générateurs</w:t>
            </w:r>
            <w:proofErr w:type="spellEnd"/>
            <w:r w:rsidRPr="00FE6289">
              <w:t xml:space="preserve"> </w:t>
            </w:r>
            <w:proofErr w:type="spellStart"/>
            <w:r w:rsidRPr="00FE6289">
              <w:t>électriques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65331F" w:rsidRDefault="0046365F" w:rsidP="00B42027">
            <w:pPr>
              <w:jc w:val="center"/>
              <w:rPr>
                <w:rtl/>
              </w:rPr>
            </w:pPr>
            <w:proofErr w:type="spellStart"/>
            <w:r w:rsidRPr="0065331F">
              <w:t>Elektrizitätswerke</w:t>
            </w:r>
            <w:proofErr w:type="spellEnd"/>
            <w:r w:rsidRPr="0065331F">
              <w:t xml:space="preserve"> und </w:t>
            </w:r>
            <w:proofErr w:type="spellStart"/>
            <w:r w:rsidRPr="0065331F">
              <w:t>Generatoren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Электростанци</w:t>
            </w:r>
            <w:r>
              <w:rPr>
                <w:lang w:val="ru-RU"/>
              </w:rPr>
              <w:t>и</w:t>
            </w:r>
            <w:r w:rsidRPr="00FF48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э</w:t>
            </w:r>
            <w:r w:rsidRPr="00FF4839">
              <w:rPr>
                <w:lang w:val="ru-RU"/>
              </w:rPr>
              <w:t>лектрогенератор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kraftverk</w:t>
            </w:r>
            <w:proofErr w:type="spellEnd"/>
            <w:r w:rsidRPr="00C85A3B">
              <w:t xml:space="preserve"> </w:t>
            </w:r>
            <w:proofErr w:type="spellStart"/>
            <w:r w:rsidRPr="00C85A3B">
              <w:t>och</w:t>
            </w:r>
            <w:proofErr w:type="spellEnd"/>
            <w:r w:rsidRPr="00C85A3B">
              <w:t xml:space="preserve"> </w:t>
            </w:r>
            <w:proofErr w:type="spellStart"/>
            <w:r w:rsidRPr="00C85A3B">
              <w:t>elledningar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电力发电机与站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Estaciónes</w:t>
            </w:r>
            <w:proofErr w:type="spellEnd"/>
            <w:r w:rsidRPr="00A3737A">
              <w:rPr>
                <w:sz w:val="26"/>
                <w:szCs w:val="26"/>
              </w:rPr>
              <w:t xml:space="preserve"> y </w:t>
            </w:r>
            <w:proofErr w:type="spellStart"/>
            <w:r w:rsidRPr="00A3737A">
              <w:rPr>
                <w:sz w:val="26"/>
                <w:szCs w:val="26"/>
              </w:rPr>
              <w:t>Generador</w:t>
            </w:r>
            <w:proofErr w:type="spellEnd"/>
            <w:r w:rsidRPr="00A3737A">
              <w:rPr>
                <w:sz w:val="26"/>
                <w:szCs w:val="26"/>
              </w:rPr>
              <w:t xml:space="preserve"> de </w:t>
            </w:r>
            <w:proofErr w:type="spellStart"/>
            <w:r w:rsidRPr="00A3737A">
              <w:rPr>
                <w:sz w:val="26"/>
                <w:szCs w:val="26"/>
              </w:rPr>
              <w:t>Electricidad</w:t>
            </w:r>
            <w:proofErr w:type="spellEnd"/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Centrali</w:t>
            </w:r>
            <w:proofErr w:type="spellEnd"/>
            <w:r w:rsidRPr="00FA09CA">
              <w:t xml:space="preserve"> </w:t>
            </w:r>
            <w:proofErr w:type="spellStart"/>
            <w:r w:rsidRPr="00FA09CA">
              <w:t>elettriche</w:t>
            </w:r>
            <w:proofErr w:type="spellEnd"/>
            <w:r w:rsidRPr="00FA09CA">
              <w:t xml:space="preserve"> e </w:t>
            </w:r>
            <w:proofErr w:type="spellStart"/>
            <w:r w:rsidRPr="00FA09CA">
              <w:t>generatori</w:t>
            </w:r>
            <w:proofErr w:type="spellEnd"/>
            <w:r w:rsidRPr="00FA09CA">
              <w:t xml:space="preserve"> di </w:t>
            </w:r>
            <w:proofErr w:type="spellStart"/>
            <w:r w:rsidRPr="00FA09CA">
              <w:t>corrente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نیروگاه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وژنراتور</w:t>
            </w:r>
            <w:proofErr w:type="spellEnd"/>
            <w:r>
              <w:rPr>
                <w:rtl/>
              </w:rPr>
              <w:t xml:space="preserve">  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524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خزان وشبكة مياه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Water Tank and Networks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proofErr w:type="spellStart"/>
            <w:r w:rsidRPr="00FE6289">
              <w:t>Réseaux</w:t>
            </w:r>
            <w:proofErr w:type="spellEnd"/>
            <w:r w:rsidRPr="00FE6289">
              <w:t xml:space="preserve"> et </w:t>
            </w:r>
            <w:proofErr w:type="spellStart"/>
            <w:r w:rsidRPr="00FE6289">
              <w:t>Réservoirs</w:t>
            </w:r>
            <w:proofErr w:type="spellEnd"/>
            <w:r w:rsidRPr="00FE6289">
              <w:t xml:space="preserve"> de </w:t>
            </w:r>
            <w:proofErr w:type="spellStart"/>
            <w:r w:rsidRPr="00FE6289">
              <w:t>l'eau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0A6314" w:rsidRDefault="0046365F" w:rsidP="00B42027">
            <w:pPr>
              <w:jc w:val="center"/>
            </w:pPr>
            <w:proofErr w:type="spellStart"/>
            <w:r w:rsidRPr="000A6314">
              <w:t>Wasserspeicher</w:t>
            </w:r>
            <w:proofErr w:type="spellEnd"/>
            <w:r w:rsidRPr="000A6314">
              <w:t xml:space="preserve"> und </w:t>
            </w:r>
            <w:proofErr w:type="spellStart"/>
            <w:r w:rsidRPr="000A6314">
              <w:t>Verteilungssysteme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Резервуар и хранилища </w:t>
            </w:r>
            <w:r w:rsidRPr="005663E1">
              <w:rPr>
                <w:lang w:val="ru-RU"/>
              </w:rPr>
              <w:t>для воды</w:t>
            </w:r>
            <w:r>
              <w:rPr>
                <w:lang w:val="ru-RU"/>
              </w:rPr>
              <w:t xml:space="preserve"> и сети водоснабжения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Vattenreservoarer</w:t>
            </w:r>
            <w:proofErr w:type="spellEnd"/>
            <w:r w:rsidRPr="00C85A3B">
              <w:t xml:space="preserve"> </w:t>
            </w:r>
            <w:proofErr w:type="spellStart"/>
            <w:r w:rsidRPr="00C85A3B">
              <w:t>och</w:t>
            </w:r>
            <w:proofErr w:type="spellEnd"/>
            <w:r w:rsidRPr="00C85A3B">
              <w:t xml:space="preserve"> </w:t>
            </w:r>
            <w:proofErr w:type="spellStart"/>
            <w:r w:rsidRPr="00C85A3B">
              <w:t>pumpanläggningar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水箱和水网络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Tanques</w:t>
            </w:r>
            <w:proofErr w:type="spellEnd"/>
            <w:r w:rsidRPr="00A3737A">
              <w:rPr>
                <w:sz w:val="26"/>
                <w:szCs w:val="26"/>
              </w:rPr>
              <w:t xml:space="preserve"> y </w:t>
            </w:r>
            <w:proofErr w:type="spellStart"/>
            <w:r w:rsidRPr="00A3737A">
              <w:rPr>
                <w:sz w:val="26"/>
                <w:szCs w:val="26"/>
              </w:rPr>
              <w:t>Redes</w:t>
            </w:r>
            <w:proofErr w:type="spellEnd"/>
            <w:r w:rsidRPr="00A3737A">
              <w:rPr>
                <w:sz w:val="26"/>
                <w:szCs w:val="26"/>
              </w:rPr>
              <w:t xml:space="preserve"> de Agua</w:t>
            </w:r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Bacini</w:t>
            </w:r>
            <w:proofErr w:type="spellEnd"/>
            <w:r w:rsidRPr="00FA09CA">
              <w:t xml:space="preserve"> </w:t>
            </w:r>
            <w:proofErr w:type="spellStart"/>
            <w:r w:rsidRPr="00FA09CA">
              <w:t>d’acqua</w:t>
            </w:r>
            <w:proofErr w:type="spellEnd"/>
            <w:r w:rsidRPr="00FA09CA">
              <w:t xml:space="preserve"> e rete </w:t>
            </w:r>
            <w:proofErr w:type="spellStart"/>
            <w:r w:rsidRPr="00FA09CA">
              <w:t>idrica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تانکر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شبکه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توزیع</w:t>
            </w:r>
            <w:proofErr w:type="spellEnd"/>
            <w:r>
              <w:rPr>
                <w:rtl/>
              </w:rPr>
              <w:t xml:space="preserve"> آب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174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 xml:space="preserve">شبكة ومحطة </w:t>
            </w:r>
            <w:r w:rsidRPr="004C685A">
              <w:rPr>
                <w:rFonts w:hint="cs"/>
                <w:rtl/>
              </w:rPr>
              <w:lastRenderedPageBreak/>
              <w:t>اتصالات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lastRenderedPageBreak/>
              <w:t xml:space="preserve">Stations and </w:t>
            </w:r>
            <w:r w:rsidRPr="004C685A">
              <w:lastRenderedPageBreak/>
              <w:t>Communication Networks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proofErr w:type="spellStart"/>
            <w:r w:rsidRPr="00FE6289">
              <w:lastRenderedPageBreak/>
              <w:t>Réseaux</w:t>
            </w:r>
            <w:proofErr w:type="spellEnd"/>
            <w:r w:rsidRPr="00FE6289">
              <w:t xml:space="preserve"> et </w:t>
            </w:r>
            <w:proofErr w:type="spellStart"/>
            <w:r w:rsidRPr="00FE6289">
              <w:lastRenderedPageBreak/>
              <w:t>Terminaux</w:t>
            </w:r>
            <w:proofErr w:type="spellEnd"/>
            <w:r w:rsidRPr="00FE6289">
              <w:t xml:space="preserve"> de communication</w:t>
            </w:r>
          </w:p>
        </w:tc>
        <w:tc>
          <w:tcPr>
            <w:tcW w:w="3059" w:type="dxa"/>
            <w:vAlign w:val="center"/>
          </w:tcPr>
          <w:p w:rsidR="0046365F" w:rsidRPr="000A6314" w:rsidRDefault="0046365F" w:rsidP="00B42027">
            <w:pPr>
              <w:jc w:val="center"/>
            </w:pPr>
            <w:proofErr w:type="spellStart"/>
            <w:r w:rsidRPr="000A6314">
              <w:lastRenderedPageBreak/>
              <w:t>Funkstellen</w:t>
            </w:r>
            <w:proofErr w:type="spellEnd"/>
            <w:r w:rsidRPr="000A6314">
              <w:t xml:space="preserve"> und </w:t>
            </w:r>
            <w:proofErr w:type="spellStart"/>
            <w:r w:rsidRPr="000A6314">
              <w:lastRenderedPageBreak/>
              <w:t>Kommunikationssysteme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Сети </w:t>
            </w:r>
            <w:r>
              <w:rPr>
                <w:lang w:val="ru-RU"/>
              </w:rPr>
              <w:lastRenderedPageBreak/>
              <w:t>телекоммуникации и станции связи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lastRenderedPageBreak/>
              <w:t>Kommunikationst</w:t>
            </w:r>
            <w:r w:rsidRPr="00C85A3B">
              <w:lastRenderedPageBreak/>
              <w:t>orn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lastRenderedPageBreak/>
              <w:t>通信网络和通信站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Estaciónes</w:t>
            </w:r>
            <w:proofErr w:type="spellEnd"/>
            <w:r w:rsidRPr="00A3737A">
              <w:rPr>
                <w:sz w:val="26"/>
                <w:szCs w:val="26"/>
              </w:rPr>
              <w:t xml:space="preserve"> y </w:t>
            </w:r>
            <w:proofErr w:type="spellStart"/>
            <w:r w:rsidRPr="00A3737A">
              <w:rPr>
                <w:sz w:val="26"/>
                <w:szCs w:val="26"/>
              </w:rPr>
              <w:lastRenderedPageBreak/>
              <w:t>Redes</w:t>
            </w:r>
            <w:proofErr w:type="spellEnd"/>
            <w:r w:rsidRPr="00A3737A">
              <w:rPr>
                <w:sz w:val="26"/>
                <w:szCs w:val="26"/>
              </w:rPr>
              <w:t xml:space="preserve"> de </w:t>
            </w:r>
            <w:proofErr w:type="spellStart"/>
            <w:r w:rsidRPr="00A3737A">
              <w:rPr>
                <w:sz w:val="26"/>
                <w:szCs w:val="26"/>
              </w:rPr>
              <w:t>Comunicaciones</w:t>
            </w:r>
            <w:proofErr w:type="spellEnd"/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lastRenderedPageBreak/>
              <w:t>Ponti</w:t>
            </w:r>
            <w:proofErr w:type="spellEnd"/>
            <w:r w:rsidRPr="00FA09CA">
              <w:t xml:space="preserve"> radio, </w:t>
            </w:r>
            <w:proofErr w:type="spellStart"/>
            <w:r w:rsidRPr="00FA09CA">
              <w:lastRenderedPageBreak/>
              <w:t>televisivi</w:t>
            </w:r>
            <w:proofErr w:type="spellEnd"/>
            <w:r w:rsidRPr="00FA09CA">
              <w:t xml:space="preserve"> e rete </w:t>
            </w:r>
            <w:proofErr w:type="spellStart"/>
            <w:r w:rsidRPr="00FA09CA">
              <w:t>telecomunicazioni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lastRenderedPageBreak/>
              <w:t>آنتن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ومرکز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tl/>
              </w:rPr>
              <w:lastRenderedPageBreak/>
              <w:t>مخابرات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lastRenderedPageBreak/>
              <w:t>301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مستشفى و</w:t>
            </w:r>
            <w:r w:rsidRPr="004C685A">
              <w:rPr>
                <w:rFonts w:hint="cs"/>
                <w:rtl/>
              </w:rPr>
              <w:t>مرفق صحي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Health 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proofErr w:type="spellStart"/>
            <w:r w:rsidRPr="000F458B">
              <w:t>Établissements</w:t>
            </w:r>
            <w:proofErr w:type="spellEnd"/>
            <w:r w:rsidRPr="000F458B">
              <w:t xml:space="preserve"> de santé</w:t>
            </w:r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Sanitäre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Einrichtungen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Медицинское учреждение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Sjukhus</w:t>
            </w:r>
            <w:proofErr w:type="spellEnd"/>
            <w:r w:rsidRPr="007567DA">
              <w:t xml:space="preserve"> </w:t>
            </w:r>
            <w:proofErr w:type="spellStart"/>
            <w:r w:rsidRPr="007567DA">
              <w:t>och</w:t>
            </w:r>
            <w:proofErr w:type="spellEnd"/>
            <w:r w:rsidRPr="007567DA">
              <w:t xml:space="preserve"> </w:t>
            </w:r>
            <w:proofErr w:type="spellStart"/>
            <w:r w:rsidRPr="007567DA">
              <w:t>vårdcentraler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医院和门诊所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Salud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Infrastruttura</w:t>
            </w:r>
            <w:proofErr w:type="spellEnd"/>
            <w:r w:rsidRPr="00EA40C7">
              <w:t xml:space="preserve"> sanitaria</w:t>
            </w:r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بیمارستان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بهداشت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245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مزرعة دجاج ومواشي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Poultry Farms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proofErr w:type="spellStart"/>
            <w:r w:rsidRPr="009008B2">
              <w:t>Ferme</w:t>
            </w:r>
            <w:proofErr w:type="spellEnd"/>
            <w:r w:rsidRPr="009008B2">
              <w:t xml:space="preserve"> de </w:t>
            </w:r>
            <w:proofErr w:type="spellStart"/>
            <w:r w:rsidRPr="009008B2">
              <w:t>poulets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Geflügel</w:t>
            </w:r>
            <w:proofErr w:type="spellEnd"/>
            <w:r w:rsidRPr="00870C69">
              <w:t xml:space="preserve">- und </w:t>
            </w:r>
            <w:proofErr w:type="spellStart"/>
            <w:r w:rsidRPr="00870C69">
              <w:t>Viehhöfe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Птицефермы и фермы для</w:t>
            </w:r>
            <w:r w:rsidRPr="00FF4839">
              <w:rPr>
                <w:lang w:val="ru-RU"/>
              </w:rPr>
              <w:t xml:space="preserve"> скот</w:t>
            </w:r>
            <w:r>
              <w:rPr>
                <w:lang w:val="ru-RU"/>
              </w:rPr>
              <w:t>а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Höns</w:t>
            </w:r>
            <w:proofErr w:type="spellEnd"/>
            <w:r w:rsidRPr="00B363B6">
              <w:t xml:space="preserve">- </w:t>
            </w:r>
            <w:proofErr w:type="spellStart"/>
            <w:r w:rsidRPr="00B363B6">
              <w:t>och</w:t>
            </w:r>
            <w:proofErr w:type="spellEnd"/>
            <w:r w:rsidRPr="00B363B6">
              <w:t xml:space="preserve"> </w:t>
            </w:r>
            <w:proofErr w:type="spellStart"/>
            <w:r w:rsidRPr="00B363B6">
              <w:t>kreatursgårdar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畜牧场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r w:rsidRPr="00343986">
              <w:t xml:space="preserve">Aves de corral </w:t>
            </w:r>
            <w:proofErr w:type="spellStart"/>
            <w:r w:rsidRPr="00343986">
              <w:t>granja</w:t>
            </w:r>
            <w:proofErr w:type="spellEnd"/>
            <w:r w:rsidRPr="00343986">
              <w:t xml:space="preserve"> y </w:t>
            </w:r>
            <w:proofErr w:type="spellStart"/>
            <w:r w:rsidRPr="00343986">
              <w:t>ganado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Allevamenti</w:t>
            </w:r>
            <w:proofErr w:type="spellEnd"/>
            <w:r w:rsidRPr="001340BB">
              <w:t xml:space="preserve"> di </w:t>
            </w:r>
            <w:proofErr w:type="spellStart"/>
            <w:r w:rsidRPr="001340BB">
              <w:t>pollame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مرغداری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گاوداری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409,356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منزل تدمر وتضرر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06680B">
              <w:t>Destroyed and Damaged Houses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proofErr w:type="spellStart"/>
            <w:r w:rsidRPr="000248F7">
              <w:t>Bâtiments</w:t>
            </w:r>
            <w:proofErr w:type="spellEnd"/>
            <w:r w:rsidRPr="000248F7">
              <w:t xml:space="preserve"> </w:t>
            </w:r>
            <w:proofErr w:type="spellStart"/>
            <w:r w:rsidRPr="000248F7">
              <w:t>détruites</w:t>
            </w:r>
            <w:proofErr w:type="spellEnd"/>
            <w:r w:rsidRPr="000248F7">
              <w:t xml:space="preserve"> et </w:t>
            </w:r>
            <w:proofErr w:type="spellStart"/>
            <w:r w:rsidRPr="000248F7">
              <w:t>endommagées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Default="0046365F" w:rsidP="00B42027">
            <w:pPr>
              <w:jc w:val="center"/>
            </w:pPr>
            <w:proofErr w:type="spellStart"/>
            <w:r w:rsidRPr="000A6314">
              <w:t>Zerstörte</w:t>
            </w:r>
            <w:proofErr w:type="spellEnd"/>
            <w:r w:rsidRPr="000A6314">
              <w:t xml:space="preserve"> und </w:t>
            </w:r>
            <w:proofErr w:type="spellStart"/>
            <w:r w:rsidRPr="000A6314">
              <w:t>beschädigte</w:t>
            </w:r>
            <w:proofErr w:type="spellEnd"/>
            <w:r w:rsidRPr="000A6314">
              <w:t xml:space="preserve"> </w:t>
            </w:r>
            <w:proofErr w:type="spellStart"/>
            <w:r w:rsidRPr="000A6314">
              <w:t>Häuser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5663E1">
              <w:rPr>
                <w:lang w:val="ru-RU"/>
              </w:rPr>
              <w:t>Разрушенные и поврежденные</w:t>
            </w:r>
            <w:r>
              <w:rPr>
                <w:lang w:val="ru-RU"/>
              </w:rPr>
              <w:t xml:space="preserve"> дома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Bostadshus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毁坏的房子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Hogares</w:t>
            </w:r>
            <w:proofErr w:type="spellEnd"/>
            <w:r w:rsidRPr="00A3737A">
              <w:rPr>
                <w:sz w:val="26"/>
                <w:szCs w:val="26"/>
              </w:rPr>
              <w:t xml:space="preserve"> </w:t>
            </w:r>
            <w:proofErr w:type="spellStart"/>
            <w:r w:rsidRPr="00A3737A">
              <w:rPr>
                <w:sz w:val="26"/>
                <w:szCs w:val="26"/>
              </w:rPr>
              <w:t>destruido</w:t>
            </w:r>
            <w:proofErr w:type="spellEnd"/>
            <w:r w:rsidRPr="00A3737A">
              <w:rPr>
                <w:sz w:val="26"/>
                <w:szCs w:val="26"/>
              </w:rPr>
              <w:t xml:space="preserve"> y </w:t>
            </w:r>
            <w:proofErr w:type="spellStart"/>
            <w:r w:rsidRPr="00A3737A">
              <w:rPr>
                <w:sz w:val="26"/>
                <w:szCs w:val="26"/>
              </w:rPr>
              <w:t>dañado</w:t>
            </w:r>
            <w:proofErr w:type="spellEnd"/>
          </w:p>
        </w:tc>
        <w:tc>
          <w:tcPr>
            <w:tcW w:w="1842" w:type="dxa"/>
          </w:tcPr>
          <w:p w:rsidR="0046365F" w:rsidRDefault="0046365F" w:rsidP="00D853BF">
            <w:pPr>
              <w:jc w:val="center"/>
            </w:pPr>
            <w:proofErr w:type="spellStart"/>
            <w:r w:rsidRPr="00FA09CA">
              <w:t>Abitazioni</w:t>
            </w:r>
            <w:proofErr w:type="spellEnd"/>
            <w:r w:rsidRPr="00FA09CA">
              <w:t xml:space="preserve"> </w:t>
            </w:r>
            <w:proofErr w:type="spellStart"/>
            <w:r w:rsidRPr="00FA09CA">
              <w:t>distrutte</w:t>
            </w:r>
            <w:proofErr w:type="spellEnd"/>
            <w:r w:rsidRPr="00FA09CA">
              <w:t xml:space="preserve"> e </w:t>
            </w:r>
            <w:proofErr w:type="spellStart"/>
            <w:r w:rsidRPr="00FA09CA">
              <w:t>danneggiate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خانه </w:t>
            </w:r>
            <w:proofErr w:type="spellStart"/>
            <w:r>
              <w:rPr>
                <w:rtl/>
              </w:rPr>
              <w:t>ویران</w:t>
            </w:r>
            <w:proofErr w:type="spellEnd"/>
            <w:r>
              <w:rPr>
                <w:rtl/>
              </w:rPr>
              <w:t xml:space="preserve"> شد  </w:t>
            </w:r>
          </w:p>
        </w:tc>
      </w:tr>
      <w:tr w:rsidR="0046365F" w:rsidRPr="00394244" w:rsidTr="0046365F">
        <w:trPr>
          <w:jc w:val="center"/>
        </w:trPr>
        <w:tc>
          <w:tcPr>
            <w:tcW w:w="1436" w:type="dxa"/>
            <w:shd w:val="clear" w:color="auto" w:fill="D9D9D9" w:themeFill="background1" w:themeFillShade="D9"/>
          </w:tcPr>
          <w:p w:rsidR="0046365F" w:rsidRPr="00394244" w:rsidRDefault="0046365F" w:rsidP="00394244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B420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46365F" w:rsidRPr="00FF4839" w:rsidRDefault="0046365F" w:rsidP="00F7785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  <w:sz w:val="10"/>
                <w:szCs w:val="1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46365F" w:rsidRPr="00A3737A" w:rsidRDefault="0046365F" w:rsidP="00D853BF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D853B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6365F" w:rsidRDefault="0046365F">
            <w:pPr>
              <w:bidi/>
              <w:jc w:val="center"/>
              <w:rPr>
                <w:sz w:val="10"/>
                <w:szCs w:val="10"/>
              </w:rPr>
            </w:pP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826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مسجد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Mosques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proofErr w:type="spellStart"/>
            <w:r w:rsidRPr="000F458B">
              <w:t>Mosquées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Moscheen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Мечети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Moskéer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清真寺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Mezquitas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Moschee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>مسجد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827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مدرسة ومعهد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Schools and Institutes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proofErr w:type="spellStart"/>
            <w:r w:rsidRPr="000F458B">
              <w:t>Écoles</w:t>
            </w:r>
            <w:proofErr w:type="spellEnd"/>
            <w:r w:rsidRPr="000F458B">
              <w:t xml:space="preserve"> and institutes</w:t>
            </w:r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Schulen</w:t>
            </w:r>
            <w:proofErr w:type="spellEnd"/>
            <w:r w:rsidRPr="00870C69">
              <w:t xml:space="preserve"> und Institute</w:t>
            </w:r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Школы и и</w:t>
            </w:r>
            <w:r w:rsidRPr="00FF4839">
              <w:rPr>
                <w:lang w:val="ru-RU"/>
              </w:rPr>
              <w:t>институт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Skolor</w:t>
            </w:r>
            <w:proofErr w:type="spellEnd"/>
            <w:r w:rsidRPr="007567DA">
              <w:t xml:space="preserve"> </w:t>
            </w:r>
            <w:proofErr w:type="spellStart"/>
            <w:r w:rsidRPr="007567DA">
              <w:t>och</w:t>
            </w:r>
            <w:proofErr w:type="spellEnd"/>
            <w:r w:rsidRPr="007567DA">
              <w:t xml:space="preserve"> institute</w:t>
            </w:r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学校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Escuelas</w:t>
            </w:r>
            <w:proofErr w:type="spellEnd"/>
            <w:r w:rsidRPr="00343986">
              <w:t xml:space="preserve"> y </w:t>
            </w:r>
            <w:proofErr w:type="spellStart"/>
            <w:r w:rsidRPr="00343986">
              <w:t>Institutos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Scuole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ed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istituti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didattici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مدرسه و </w:t>
            </w:r>
            <w:proofErr w:type="spellStart"/>
            <w:r>
              <w:rPr>
                <w:rtl/>
              </w:rPr>
              <w:t>موسسه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آموزشی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255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منشأة سياحية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Tourist 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 xml:space="preserve">Institution </w:t>
            </w:r>
            <w:proofErr w:type="spellStart"/>
            <w:r w:rsidRPr="000F458B">
              <w:t>touristiques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Fremdenverkehrseinrichtungen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Туристически</w:t>
            </w:r>
            <w:r>
              <w:rPr>
                <w:lang w:val="ru-RU"/>
              </w:rPr>
              <w:t>е</w:t>
            </w:r>
            <w:r w:rsidRPr="00FF4839">
              <w:rPr>
                <w:lang w:val="ru-RU"/>
              </w:rPr>
              <w:t xml:space="preserve"> объект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Turistanläggningar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旅游遗址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Turística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Infrastruttura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turistica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گردشکری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211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معلم </w:t>
            </w:r>
            <w:r w:rsidRPr="004C685A">
              <w:rPr>
                <w:rFonts w:hint="cs"/>
                <w:rtl/>
              </w:rPr>
              <w:t>أثري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Archaeological Sites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 xml:space="preserve">Sites </w:t>
            </w:r>
            <w:proofErr w:type="spellStart"/>
            <w:r w:rsidRPr="000F458B">
              <w:t>archéologiques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Archäologische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Stätten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Археологические памятники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Arkeologiska</w:t>
            </w:r>
            <w:proofErr w:type="spellEnd"/>
            <w:r w:rsidRPr="007567DA">
              <w:t xml:space="preserve"> </w:t>
            </w:r>
            <w:proofErr w:type="spellStart"/>
            <w:r w:rsidRPr="007567DA">
              <w:t>platser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老古遗址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Sitios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Arqueológico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Siti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archeologici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>مراكز اثار باستاني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106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منشأة رياضية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Sports 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>Institution sportive</w:t>
            </w:r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Sportanlagen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Спортивн</w:t>
            </w:r>
            <w:r>
              <w:rPr>
                <w:lang w:val="ru-RU"/>
              </w:rPr>
              <w:t>ые</w:t>
            </w:r>
            <w:r w:rsidRPr="00FF4839">
              <w:rPr>
                <w:lang w:val="ru-RU"/>
              </w:rPr>
              <w:t xml:space="preserve"> сооружени</w:t>
            </w:r>
            <w:r>
              <w:rPr>
                <w:lang w:val="ru-RU"/>
              </w:rPr>
              <w:t>я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Idrottsanläggningar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体育馆和操场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deportivo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Infrastruttura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sportiva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استاديوم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ورزشی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118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منشآت جامعية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9E7259">
            <w:pPr>
              <w:jc w:val="center"/>
            </w:pPr>
            <w:r w:rsidRPr="004C685A">
              <w:t>Universit</w:t>
            </w:r>
            <w:r>
              <w:t xml:space="preserve">y </w:t>
            </w:r>
            <w:r w:rsidRPr="004C685A">
              <w:t>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 xml:space="preserve">Installations des  </w:t>
            </w:r>
            <w:proofErr w:type="spellStart"/>
            <w:r w:rsidRPr="000F458B">
              <w:t>Universitaires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Universitäten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Университет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Universitet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大学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Universitaria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Universitá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مركز و </w:t>
            </w:r>
            <w:proofErr w:type="spellStart"/>
            <w:r>
              <w:rPr>
                <w:rtl/>
              </w:rPr>
              <w:t>ساختمان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دانشگاهی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30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منشأة إعلامية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Media 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 xml:space="preserve">Institution des </w:t>
            </w:r>
            <w:proofErr w:type="spellStart"/>
            <w:r w:rsidRPr="000F458B">
              <w:t>médias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Mediale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Einrichtungen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Медиа-центр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Default="0046365F" w:rsidP="00394244">
            <w:pPr>
              <w:jc w:val="center"/>
            </w:pPr>
            <w:proofErr w:type="spellStart"/>
            <w:r w:rsidRPr="007567DA">
              <w:t>Mediahus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新闻业建筑和设施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Medios</w:t>
            </w:r>
            <w:proofErr w:type="spellEnd"/>
          </w:p>
        </w:tc>
        <w:tc>
          <w:tcPr>
            <w:tcW w:w="1842" w:type="dxa"/>
          </w:tcPr>
          <w:p w:rsidR="0046365F" w:rsidRDefault="0046365F" w:rsidP="00D853BF">
            <w:pPr>
              <w:jc w:val="center"/>
            </w:pPr>
            <w:proofErr w:type="spellStart"/>
            <w:r w:rsidRPr="00EA40C7">
              <w:t>Infrastruttura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mediatica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رسانه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ای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692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مخزن غذاء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Food Stores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proofErr w:type="spellStart"/>
            <w:r w:rsidRPr="009008B2">
              <w:t>Magasins</w:t>
            </w:r>
            <w:proofErr w:type="spellEnd"/>
            <w:r w:rsidRPr="009008B2">
              <w:t xml:space="preserve"> </w:t>
            </w:r>
            <w:proofErr w:type="spellStart"/>
            <w:r w:rsidRPr="009008B2">
              <w:t>d'alimentation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Lebensmittelgeschäfte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Продовольственн</w:t>
            </w:r>
            <w:r>
              <w:rPr>
                <w:lang w:val="ru-RU"/>
              </w:rPr>
              <w:t>ое</w:t>
            </w:r>
            <w:r w:rsidRPr="00FF48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хранилище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Mataffärer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食品仓库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Tiendas</w:t>
            </w:r>
            <w:proofErr w:type="spellEnd"/>
            <w:r w:rsidRPr="00343986">
              <w:t xml:space="preserve"> de </w:t>
            </w:r>
            <w:proofErr w:type="spellStart"/>
            <w:r w:rsidRPr="00343986">
              <w:t>alimentos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Negozi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alimentari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انبار مواد </w:t>
            </w:r>
            <w:proofErr w:type="spellStart"/>
            <w:r>
              <w:rPr>
                <w:rtl/>
              </w:rPr>
              <w:t>غذایی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548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ناقلة غذاء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Food Tankers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r w:rsidRPr="009008B2">
              <w:t xml:space="preserve">Camion </w:t>
            </w:r>
            <w:proofErr w:type="spellStart"/>
            <w:r w:rsidRPr="009008B2">
              <w:t>citerne</w:t>
            </w:r>
            <w:proofErr w:type="spellEnd"/>
            <w:r w:rsidRPr="009008B2">
              <w:t xml:space="preserve"> </w:t>
            </w:r>
            <w:proofErr w:type="spellStart"/>
            <w:r w:rsidRPr="009008B2">
              <w:t>alimentaire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Lebensmitteltransporter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632D53">
              <w:rPr>
                <w:lang w:val="ru-RU"/>
              </w:rPr>
              <w:t>Пищевая танкер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Lastbilar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食品油轮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Petroleros</w:t>
            </w:r>
            <w:proofErr w:type="spellEnd"/>
            <w:r w:rsidRPr="00343986">
              <w:t xml:space="preserve"> de </w:t>
            </w:r>
            <w:proofErr w:type="spellStart"/>
            <w:r w:rsidRPr="00343986">
              <w:t>Alimentos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Riserve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alimentari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کامیون</w:t>
            </w:r>
            <w:proofErr w:type="spellEnd"/>
            <w:r>
              <w:rPr>
                <w:rtl/>
              </w:rPr>
              <w:t xml:space="preserve"> مواد </w:t>
            </w:r>
            <w:proofErr w:type="spellStart"/>
            <w:r>
              <w:rPr>
                <w:rtl/>
              </w:rPr>
              <w:t>غذایی</w:t>
            </w:r>
            <w:proofErr w:type="spellEnd"/>
          </w:p>
        </w:tc>
      </w:tr>
      <w:tr w:rsidR="0046365F" w:rsidRPr="00394244" w:rsidTr="0046365F">
        <w:trPr>
          <w:jc w:val="center"/>
        </w:trPr>
        <w:tc>
          <w:tcPr>
            <w:tcW w:w="1436" w:type="dxa"/>
            <w:shd w:val="clear" w:color="auto" w:fill="D9D9D9" w:themeFill="background1" w:themeFillShade="D9"/>
          </w:tcPr>
          <w:p w:rsidR="0046365F" w:rsidRPr="00394244" w:rsidRDefault="0046365F" w:rsidP="00394244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46365F" w:rsidRPr="00870C69" w:rsidRDefault="0046365F" w:rsidP="00B42027">
            <w:pPr>
              <w:jc w:val="center"/>
            </w:pP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46365F" w:rsidRPr="00FF4839" w:rsidRDefault="0046365F" w:rsidP="00F7785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  <w:sz w:val="10"/>
                <w:szCs w:val="1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46365F" w:rsidRPr="00A3737A" w:rsidRDefault="0046365F" w:rsidP="00D853BF">
            <w:pPr>
              <w:tabs>
                <w:tab w:val="left" w:pos="3125"/>
              </w:tabs>
              <w:jc w:val="left"/>
              <w:rPr>
                <w:sz w:val="2"/>
                <w:szCs w:val="2"/>
                <w:rtl/>
              </w:rPr>
            </w:pPr>
            <w:r>
              <w:tab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65F" w:rsidRPr="00394244" w:rsidRDefault="0046365F" w:rsidP="00D853B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6365F" w:rsidRDefault="0046365F">
            <w:pPr>
              <w:bidi/>
              <w:jc w:val="center"/>
              <w:rPr>
                <w:sz w:val="10"/>
                <w:szCs w:val="10"/>
              </w:rPr>
            </w:pP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37A8D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1,684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منشأة حكومية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Governmental Facilities</w:t>
            </w:r>
          </w:p>
        </w:tc>
        <w:tc>
          <w:tcPr>
            <w:tcW w:w="2145" w:type="dxa"/>
            <w:vAlign w:val="center"/>
          </w:tcPr>
          <w:p w:rsidR="0046365F" w:rsidRPr="000F458B" w:rsidRDefault="0046365F" w:rsidP="00394244">
            <w:pPr>
              <w:jc w:val="center"/>
            </w:pPr>
            <w:r w:rsidRPr="000F458B">
              <w:t xml:space="preserve">Institution </w:t>
            </w:r>
            <w:proofErr w:type="spellStart"/>
            <w:r w:rsidRPr="000F458B">
              <w:t>gouvernemental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Regierungseinrichtingen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Государственные </w:t>
            </w:r>
            <w:r w:rsidRPr="00FF4839">
              <w:rPr>
                <w:lang w:val="ru-RU"/>
              </w:rPr>
              <w:t>объекты</w:t>
            </w:r>
          </w:p>
        </w:tc>
        <w:tc>
          <w:tcPr>
            <w:tcW w:w="2518" w:type="dxa"/>
            <w:vAlign w:val="center"/>
          </w:tcPr>
          <w:p w:rsidR="0046365F" w:rsidRPr="007567DA" w:rsidRDefault="0046365F" w:rsidP="00394244">
            <w:pPr>
              <w:jc w:val="center"/>
            </w:pPr>
            <w:proofErr w:type="spellStart"/>
            <w:r w:rsidRPr="007567DA">
              <w:t>Regeringsbyggnader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政府建筑和设施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Gubernamental</w:t>
            </w:r>
            <w:proofErr w:type="spellEnd"/>
          </w:p>
        </w:tc>
        <w:tc>
          <w:tcPr>
            <w:tcW w:w="1842" w:type="dxa"/>
          </w:tcPr>
          <w:p w:rsidR="0046365F" w:rsidRPr="00EA40C7" w:rsidRDefault="0046365F" w:rsidP="00D853BF">
            <w:pPr>
              <w:jc w:val="center"/>
            </w:pPr>
            <w:proofErr w:type="spellStart"/>
            <w:r w:rsidRPr="00EA40C7">
              <w:t>Edifici</w:t>
            </w:r>
            <w:proofErr w:type="spellEnd"/>
            <w:r w:rsidRPr="00EA40C7">
              <w:t xml:space="preserve"> </w:t>
            </w:r>
            <w:proofErr w:type="spellStart"/>
            <w:r w:rsidRPr="00EA40C7">
              <w:t>governativi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موسسه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دولتی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lastRenderedPageBreak/>
              <w:t>2,144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طريق وجسر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Bridges and Roads</w:t>
            </w:r>
          </w:p>
        </w:tc>
        <w:tc>
          <w:tcPr>
            <w:tcW w:w="2145" w:type="dxa"/>
            <w:vAlign w:val="center"/>
          </w:tcPr>
          <w:p w:rsidR="0046365F" w:rsidRPr="00FE6289" w:rsidRDefault="0046365F" w:rsidP="00394244">
            <w:pPr>
              <w:jc w:val="center"/>
            </w:pPr>
            <w:r w:rsidRPr="00FE6289">
              <w:t xml:space="preserve">Routes et </w:t>
            </w:r>
            <w:proofErr w:type="spellStart"/>
            <w:r w:rsidRPr="00FE6289">
              <w:t>ponts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0A6314" w:rsidRDefault="0046365F" w:rsidP="00B42027">
            <w:pPr>
              <w:jc w:val="center"/>
            </w:pPr>
            <w:proofErr w:type="spellStart"/>
            <w:r w:rsidRPr="000A6314">
              <w:t>Brücken</w:t>
            </w:r>
            <w:proofErr w:type="spellEnd"/>
            <w:r w:rsidRPr="000A6314">
              <w:t xml:space="preserve"> und </w:t>
            </w:r>
            <w:proofErr w:type="spellStart"/>
            <w:r w:rsidRPr="000A6314">
              <w:t>Straßen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Дороги и мосты</w:t>
            </w:r>
          </w:p>
        </w:tc>
        <w:tc>
          <w:tcPr>
            <w:tcW w:w="2518" w:type="dxa"/>
            <w:vAlign w:val="center"/>
          </w:tcPr>
          <w:p w:rsidR="0046365F" w:rsidRPr="00C85A3B" w:rsidRDefault="0046365F" w:rsidP="00394244">
            <w:pPr>
              <w:jc w:val="center"/>
            </w:pPr>
            <w:proofErr w:type="spellStart"/>
            <w:r w:rsidRPr="00C85A3B">
              <w:t>Broar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桥梁和道路</w:t>
            </w:r>
            <w:proofErr w:type="spellEnd"/>
          </w:p>
        </w:tc>
        <w:tc>
          <w:tcPr>
            <w:tcW w:w="1730" w:type="dxa"/>
          </w:tcPr>
          <w:p w:rsidR="0046365F" w:rsidRPr="00A3737A" w:rsidRDefault="0046365F" w:rsidP="00D853BF">
            <w:pPr>
              <w:jc w:val="center"/>
              <w:rPr>
                <w:sz w:val="26"/>
                <w:szCs w:val="26"/>
              </w:rPr>
            </w:pPr>
            <w:proofErr w:type="spellStart"/>
            <w:r w:rsidRPr="00A3737A">
              <w:rPr>
                <w:sz w:val="26"/>
                <w:szCs w:val="26"/>
              </w:rPr>
              <w:t>Vía</w:t>
            </w:r>
            <w:proofErr w:type="spellEnd"/>
            <w:r w:rsidRPr="00A3737A">
              <w:rPr>
                <w:sz w:val="26"/>
                <w:szCs w:val="26"/>
              </w:rPr>
              <w:t xml:space="preserve"> y Puente</w:t>
            </w:r>
          </w:p>
        </w:tc>
        <w:tc>
          <w:tcPr>
            <w:tcW w:w="1842" w:type="dxa"/>
          </w:tcPr>
          <w:p w:rsidR="0046365F" w:rsidRPr="00FA09CA" w:rsidRDefault="0046365F" w:rsidP="00D853BF">
            <w:pPr>
              <w:jc w:val="center"/>
            </w:pPr>
            <w:proofErr w:type="spellStart"/>
            <w:r w:rsidRPr="00FA09CA">
              <w:t>Ponti</w:t>
            </w:r>
            <w:proofErr w:type="spellEnd"/>
            <w:r w:rsidRPr="00FA09CA">
              <w:t xml:space="preserve"> e </w:t>
            </w:r>
            <w:proofErr w:type="spellStart"/>
            <w:r w:rsidRPr="00FA09CA">
              <w:t>strade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خیابان</w:t>
            </w:r>
            <w:proofErr w:type="spellEnd"/>
            <w:r>
              <w:rPr>
                <w:rtl/>
              </w:rPr>
              <w:t xml:space="preserve"> و </w:t>
            </w:r>
            <w:proofErr w:type="spellStart"/>
            <w:r>
              <w:rPr>
                <w:rtl/>
              </w:rPr>
              <w:t>پل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9437CB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3,378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9437CB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 xml:space="preserve">وسيلة </w:t>
            </w:r>
            <w:r>
              <w:rPr>
                <w:rFonts w:hint="cs"/>
                <w:rtl/>
              </w:rPr>
              <w:t>نقل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Transportation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proofErr w:type="spellStart"/>
            <w:r w:rsidRPr="009008B2">
              <w:t>Moyens</w:t>
            </w:r>
            <w:proofErr w:type="spellEnd"/>
            <w:r w:rsidRPr="009008B2">
              <w:t xml:space="preserve"> de transport</w:t>
            </w:r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Verkehrseinheiten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5663E1">
              <w:rPr>
                <w:lang w:val="ru-RU"/>
              </w:rPr>
              <w:t>Транспортные средства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Bilar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运输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Medios</w:t>
            </w:r>
            <w:proofErr w:type="spellEnd"/>
            <w:r w:rsidRPr="00343986">
              <w:t xml:space="preserve"> de </w:t>
            </w:r>
            <w:proofErr w:type="spellStart"/>
            <w:r w:rsidRPr="00343986">
              <w:t>Transporte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Trasporti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کارخانه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6,393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منشأة تجارية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5932F4">
              <w:t>Commercial Facilities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proofErr w:type="spellStart"/>
            <w:r w:rsidRPr="009008B2">
              <w:t>Commerces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Gewerbliche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Niederlassungen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Коммерческие </w:t>
            </w:r>
            <w:r w:rsidRPr="00FF4839">
              <w:rPr>
                <w:lang w:val="ru-RU"/>
              </w:rPr>
              <w:t>объект</w:t>
            </w:r>
            <w:r>
              <w:rPr>
                <w:lang w:val="ru-RU"/>
              </w:rPr>
              <w:t>ы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Affärer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商业建筑和设施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Facilidades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Comercial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Esercizi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commerciali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تجاری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9437CB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2,256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9437CB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حق</w:t>
            </w:r>
            <w:r>
              <w:rPr>
                <w:rFonts w:hint="cs"/>
                <w:rtl/>
              </w:rPr>
              <w:t>ل زراعي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Agricultural Fields</w:t>
            </w:r>
          </w:p>
        </w:tc>
        <w:tc>
          <w:tcPr>
            <w:tcW w:w="2145" w:type="dxa"/>
            <w:vAlign w:val="center"/>
          </w:tcPr>
          <w:p w:rsidR="0046365F" w:rsidRPr="00CE6561" w:rsidRDefault="0046365F" w:rsidP="00394244">
            <w:pPr>
              <w:jc w:val="center"/>
            </w:pPr>
            <w:proofErr w:type="spellStart"/>
            <w:r w:rsidRPr="00D72EDD">
              <w:t>Agricoles</w:t>
            </w:r>
            <w:proofErr w:type="spellEnd"/>
            <w:r w:rsidRPr="00D72EDD">
              <w:t xml:space="preserve"> Champs</w:t>
            </w:r>
          </w:p>
        </w:tc>
        <w:tc>
          <w:tcPr>
            <w:tcW w:w="3059" w:type="dxa"/>
            <w:vAlign w:val="center"/>
          </w:tcPr>
          <w:p w:rsidR="0046365F" w:rsidRDefault="0046365F" w:rsidP="00B42027">
            <w:pPr>
              <w:jc w:val="center"/>
            </w:pPr>
            <w:proofErr w:type="spellStart"/>
            <w:r w:rsidRPr="00870C69">
              <w:t>Landwirtschaftliche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felder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5663E1">
              <w:rPr>
                <w:lang w:val="ru-RU"/>
              </w:rPr>
              <w:t>Сельскохозяйственное</w:t>
            </w:r>
            <w:r>
              <w:rPr>
                <w:lang w:val="ru-RU"/>
              </w:rPr>
              <w:t xml:space="preserve"> поля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Åkerfält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农场</w:t>
            </w:r>
            <w:proofErr w:type="spellEnd"/>
          </w:p>
        </w:tc>
        <w:tc>
          <w:tcPr>
            <w:tcW w:w="1730" w:type="dxa"/>
          </w:tcPr>
          <w:p w:rsidR="0046365F" w:rsidRDefault="0046365F" w:rsidP="00D853BF">
            <w:pPr>
              <w:jc w:val="center"/>
            </w:pPr>
            <w:r w:rsidRPr="00343986">
              <w:t xml:space="preserve">Campos </w:t>
            </w:r>
            <w:proofErr w:type="spellStart"/>
            <w:r w:rsidRPr="00343986">
              <w:t>Agrícolas</w:t>
            </w:r>
            <w:proofErr w:type="spellEnd"/>
          </w:p>
        </w:tc>
        <w:tc>
          <w:tcPr>
            <w:tcW w:w="1842" w:type="dxa"/>
          </w:tcPr>
          <w:p w:rsidR="0046365F" w:rsidRDefault="0046365F" w:rsidP="00D853BF">
            <w:pPr>
              <w:jc w:val="center"/>
            </w:pPr>
            <w:proofErr w:type="spellStart"/>
            <w:r w:rsidRPr="001340BB">
              <w:t>Coltivazioni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کشتزار</w:t>
            </w:r>
            <w:proofErr w:type="spellEnd"/>
            <w:r>
              <w:rPr>
                <w:rtl/>
              </w:rPr>
              <w:t xml:space="preserve">  </w:t>
            </w:r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593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سوق تجاري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5932F4">
              <w:t xml:space="preserve">Popular Markets </w:t>
            </w:r>
            <w:r w:rsidRPr="004C685A">
              <w:t>and Malls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r w:rsidRPr="009008B2">
              <w:t xml:space="preserve">Marché et </w:t>
            </w:r>
            <w:proofErr w:type="spellStart"/>
            <w:r w:rsidRPr="009008B2">
              <w:t>centre</w:t>
            </w:r>
            <w:proofErr w:type="spellEnd"/>
            <w:r w:rsidRPr="009008B2">
              <w:t xml:space="preserve"> commercial</w:t>
            </w:r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Öffentliche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Märkte</w:t>
            </w:r>
            <w:proofErr w:type="spellEnd"/>
            <w:r w:rsidRPr="00870C69">
              <w:t xml:space="preserve"> und </w:t>
            </w:r>
            <w:proofErr w:type="spellStart"/>
            <w:r w:rsidRPr="00870C69">
              <w:t>Einkaufszentren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Рынок</w:t>
            </w:r>
            <w:r>
              <w:rPr>
                <w:lang w:val="ru-RU"/>
              </w:rPr>
              <w:t>и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Allmänna</w:t>
            </w:r>
            <w:proofErr w:type="spellEnd"/>
            <w:r w:rsidRPr="00B363B6">
              <w:t xml:space="preserve"> </w:t>
            </w:r>
            <w:proofErr w:type="spellStart"/>
            <w:r w:rsidRPr="00B363B6">
              <w:t>marknader</w:t>
            </w:r>
            <w:proofErr w:type="spellEnd"/>
            <w:r w:rsidRPr="00B363B6">
              <w:t xml:space="preserve"> </w:t>
            </w:r>
            <w:proofErr w:type="spellStart"/>
            <w:r w:rsidRPr="00B363B6">
              <w:t>och</w:t>
            </w:r>
            <w:proofErr w:type="spellEnd"/>
            <w:r w:rsidRPr="00B363B6">
              <w:t xml:space="preserve"> </w:t>
            </w:r>
            <w:proofErr w:type="spellStart"/>
            <w:r w:rsidRPr="00B363B6">
              <w:t>gallerior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公共市场和购物中心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Mercados</w:t>
            </w:r>
            <w:proofErr w:type="spellEnd"/>
            <w:r w:rsidRPr="00343986">
              <w:t xml:space="preserve"> </w:t>
            </w:r>
            <w:proofErr w:type="spellStart"/>
            <w:r w:rsidRPr="00343986">
              <w:t>Comercial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Mercati</w:t>
            </w:r>
            <w:proofErr w:type="spellEnd"/>
            <w:r w:rsidRPr="001340BB">
              <w:t xml:space="preserve"> e </w:t>
            </w:r>
            <w:proofErr w:type="spellStart"/>
            <w:r w:rsidRPr="001340BB">
              <w:t>centri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commerciali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بازار و </w:t>
            </w:r>
            <w:proofErr w:type="spellStart"/>
            <w:r>
              <w:rPr>
                <w:rtl/>
              </w:rPr>
              <w:t>مرکز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خرید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300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مصنع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Factories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proofErr w:type="spellStart"/>
            <w:r w:rsidRPr="009008B2">
              <w:t>Usine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Fabriken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Заводы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Fabriker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工厂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Fábricas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Fabbriche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تانکر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سوخت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337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محطة وقود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Fuel Stations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r w:rsidRPr="009008B2">
              <w:t xml:space="preserve">Station </w:t>
            </w:r>
            <w:proofErr w:type="spellStart"/>
            <w:r w:rsidRPr="009008B2">
              <w:t>d'essence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Tankstellen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 w:rsidRPr="00FF4839">
              <w:rPr>
                <w:lang w:val="ru-RU"/>
              </w:rPr>
              <w:t>Автозаправочных станций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Bensinstationer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加油站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Estaciónes</w:t>
            </w:r>
            <w:proofErr w:type="spellEnd"/>
            <w:r w:rsidRPr="00343986">
              <w:t xml:space="preserve"> de </w:t>
            </w:r>
            <w:proofErr w:type="spellStart"/>
            <w:r w:rsidRPr="00343986">
              <w:t>Gasolineras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Stazioni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carburante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proofErr w:type="spellStart"/>
            <w:r>
              <w:rPr>
                <w:rtl/>
              </w:rPr>
              <w:t>پمپ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بنزین</w:t>
            </w:r>
            <w:proofErr w:type="spellEnd"/>
          </w:p>
        </w:tc>
      </w:tr>
      <w:tr w:rsidR="0046365F" w:rsidTr="0046365F">
        <w:trPr>
          <w:jc w:val="center"/>
        </w:trPr>
        <w:tc>
          <w:tcPr>
            <w:tcW w:w="1436" w:type="dxa"/>
          </w:tcPr>
          <w:p w:rsidR="0046365F" w:rsidRPr="004C685A" w:rsidRDefault="0046365F" w:rsidP="00394244">
            <w:pPr>
              <w:bidi/>
              <w:jc w:val="center"/>
              <w:rPr>
                <w:rFonts w:hint="cs"/>
                <w:rtl/>
              </w:rPr>
            </w:pPr>
            <w:r w:rsidRPr="0046365F">
              <w:rPr>
                <w:rtl/>
              </w:rPr>
              <w:t>251</w:t>
            </w:r>
          </w:p>
        </w:tc>
        <w:tc>
          <w:tcPr>
            <w:tcW w:w="1842" w:type="dxa"/>
            <w:vAlign w:val="center"/>
          </w:tcPr>
          <w:p w:rsidR="0046365F" w:rsidRPr="004C685A" w:rsidRDefault="0046365F" w:rsidP="00394244">
            <w:pPr>
              <w:bidi/>
              <w:jc w:val="center"/>
              <w:rPr>
                <w:rtl/>
              </w:rPr>
            </w:pPr>
            <w:r w:rsidRPr="004C685A">
              <w:rPr>
                <w:rFonts w:hint="cs"/>
                <w:rtl/>
              </w:rPr>
              <w:t>ناقلة وقود</w:t>
            </w:r>
          </w:p>
        </w:tc>
        <w:tc>
          <w:tcPr>
            <w:tcW w:w="2145" w:type="dxa"/>
            <w:vAlign w:val="center"/>
          </w:tcPr>
          <w:p w:rsidR="0046365F" w:rsidRPr="004C685A" w:rsidRDefault="0046365F" w:rsidP="00394244">
            <w:pPr>
              <w:jc w:val="center"/>
            </w:pPr>
            <w:r w:rsidRPr="004C685A">
              <w:t>Fuel Tankers</w:t>
            </w:r>
          </w:p>
        </w:tc>
        <w:tc>
          <w:tcPr>
            <w:tcW w:w="2145" w:type="dxa"/>
            <w:vAlign w:val="center"/>
          </w:tcPr>
          <w:p w:rsidR="0046365F" w:rsidRPr="009008B2" w:rsidRDefault="0046365F" w:rsidP="00394244">
            <w:pPr>
              <w:jc w:val="center"/>
            </w:pPr>
            <w:r w:rsidRPr="009008B2">
              <w:t xml:space="preserve">Camion de </w:t>
            </w:r>
            <w:proofErr w:type="spellStart"/>
            <w:r w:rsidRPr="009008B2">
              <w:t>pétrole</w:t>
            </w:r>
            <w:proofErr w:type="spellEnd"/>
          </w:p>
        </w:tc>
        <w:tc>
          <w:tcPr>
            <w:tcW w:w="3059" w:type="dxa"/>
            <w:vAlign w:val="center"/>
          </w:tcPr>
          <w:p w:rsidR="0046365F" w:rsidRPr="00870C69" w:rsidRDefault="0046365F" w:rsidP="00B42027">
            <w:pPr>
              <w:jc w:val="center"/>
            </w:pPr>
            <w:proofErr w:type="spellStart"/>
            <w:r w:rsidRPr="00870C69">
              <w:t>Tankwagen</w:t>
            </w:r>
            <w:proofErr w:type="spellEnd"/>
          </w:p>
        </w:tc>
        <w:tc>
          <w:tcPr>
            <w:tcW w:w="2752" w:type="dxa"/>
            <w:vAlign w:val="center"/>
          </w:tcPr>
          <w:p w:rsidR="0046365F" w:rsidRPr="00FF4839" w:rsidRDefault="0046365F" w:rsidP="00F778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Бензовозы</w:t>
            </w:r>
          </w:p>
        </w:tc>
        <w:tc>
          <w:tcPr>
            <w:tcW w:w="2518" w:type="dxa"/>
            <w:vAlign w:val="center"/>
          </w:tcPr>
          <w:p w:rsidR="0046365F" w:rsidRPr="00B363B6" w:rsidRDefault="0046365F" w:rsidP="00394244">
            <w:pPr>
              <w:jc w:val="center"/>
            </w:pPr>
            <w:proofErr w:type="spellStart"/>
            <w:r w:rsidRPr="00B363B6">
              <w:t>Bränsledepåer</w:t>
            </w:r>
            <w:proofErr w:type="spellEnd"/>
          </w:p>
        </w:tc>
        <w:tc>
          <w:tcPr>
            <w:tcW w:w="1828" w:type="dxa"/>
            <w:vAlign w:val="center"/>
          </w:tcPr>
          <w:p w:rsidR="0046365F" w:rsidRPr="00A4270F" w:rsidRDefault="0046365F" w:rsidP="00394244">
            <w:pPr>
              <w:wordWrap w:val="0"/>
              <w:spacing w:after="160" w:line="259" w:lineRule="auto"/>
              <w:jc w:val="center"/>
              <w:rPr>
                <w:rFonts w:ascii="NanumGothic" w:eastAsia="NanumGothic" w:hAnsi="NanumGothic"/>
              </w:rPr>
            </w:pPr>
            <w:proofErr w:type="spellStart"/>
            <w:r w:rsidRPr="00A4270F">
              <w:rPr>
                <w:rFonts w:ascii="NanumGothic" w:eastAsia="NanumGothic" w:hAnsi="NanumGothic"/>
                <w:sz w:val="20"/>
                <w:szCs w:val="20"/>
              </w:rPr>
              <w:t>油槽车</w:t>
            </w:r>
            <w:proofErr w:type="spellEnd"/>
          </w:p>
        </w:tc>
        <w:tc>
          <w:tcPr>
            <w:tcW w:w="1730" w:type="dxa"/>
          </w:tcPr>
          <w:p w:rsidR="0046365F" w:rsidRPr="00343986" w:rsidRDefault="0046365F" w:rsidP="00D853BF">
            <w:pPr>
              <w:jc w:val="center"/>
            </w:pPr>
            <w:proofErr w:type="spellStart"/>
            <w:r w:rsidRPr="00343986">
              <w:t>Petroleros</w:t>
            </w:r>
            <w:proofErr w:type="spellEnd"/>
            <w:r w:rsidRPr="00343986">
              <w:t xml:space="preserve"> de </w:t>
            </w:r>
            <w:proofErr w:type="spellStart"/>
            <w:r w:rsidRPr="00343986">
              <w:t>Gasolineras</w:t>
            </w:r>
            <w:proofErr w:type="spellEnd"/>
          </w:p>
        </w:tc>
        <w:tc>
          <w:tcPr>
            <w:tcW w:w="1842" w:type="dxa"/>
          </w:tcPr>
          <w:p w:rsidR="0046365F" w:rsidRPr="001340BB" w:rsidRDefault="0046365F" w:rsidP="00D853BF">
            <w:pPr>
              <w:jc w:val="center"/>
            </w:pPr>
            <w:proofErr w:type="spellStart"/>
            <w:r w:rsidRPr="001340BB">
              <w:t>Riserve</w:t>
            </w:r>
            <w:proofErr w:type="spellEnd"/>
            <w:r w:rsidRPr="001340BB">
              <w:t xml:space="preserve"> </w:t>
            </w:r>
            <w:proofErr w:type="spellStart"/>
            <w:r w:rsidRPr="001340BB">
              <w:t>carburante</w:t>
            </w:r>
            <w:proofErr w:type="spellEnd"/>
          </w:p>
        </w:tc>
        <w:tc>
          <w:tcPr>
            <w:tcW w:w="1757" w:type="dxa"/>
            <w:vAlign w:val="center"/>
          </w:tcPr>
          <w:p w:rsidR="0046365F" w:rsidRDefault="0046365F">
            <w:pPr>
              <w:bidi/>
              <w:jc w:val="center"/>
            </w:pPr>
            <w:r>
              <w:rPr>
                <w:rtl/>
              </w:rPr>
              <w:t xml:space="preserve">وسيله </w:t>
            </w:r>
            <w:proofErr w:type="spellStart"/>
            <w:r>
              <w:rPr>
                <w:rtl/>
              </w:rPr>
              <w:t>نقلیه</w:t>
            </w:r>
            <w:proofErr w:type="spellEnd"/>
          </w:p>
        </w:tc>
      </w:tr>
    </w:tbl>
    <w:p w:rsidR="008E5457" w:rsidRDefault="008E5457" w:rsidP="000248F7">
      <w:bookmarkStart w:id="0" w:name="_GoBack"/>
      <w:bookmarkEnd w:id="0"/>
    </w:p>
    <w:sectPr w:rsidR="008E5457" w:rsidSect="00175C22">
      <w:headerReference w:type="default" r:id="rId7"/>
      <w:pgSz w:w="23814" w:h="16840" w:orient="landscape" w:code="8"/>
      <w:pgMar w:top="1134" w:right="1134" w:bottom="1134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1" w:rsidRDefault="00680B91" w:rsidP="00C81236">
      <w:pPr>
        <w:spacing w:before="0"/>
      </w:pPr>
      <w:r>
        <w:separator/>
      </w:r>
    </w:p>
  </w:endnote>
  <w:endnote w:type="continuationSeparator" w:id="0">
    <w:p w:rsidR="00680B91" w:rsidRDefault="00680B91" w:rsidP="00C812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1" w:rsidRDefault="00680B91" w:rsidP="00C81236">
      <w:pPr>
        <w:spacing w:before="0"/>
      </w:pPr>
      <w:r>
        <w:separator/>
      </w:r>
    </w:p>
  </w:footnote>
  <w:footnote w:type="continuationSeparator" w:id="0">
    <w:p w:rsidR="00680B91" w:rsidRDefault="00680B91" w:rsidP="00C812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36" w:rsidRPr="00C81236" w:rsidRDefault="00C81236" w:rsidP="00C81236">
    <w:pPr>
      <w:pStyle w:val="a4"/>
      <w:bidi/>
      <w:jc w:val="right"/>
      <w:rPr>
        <w:rFonts w:ascii="Traditional Arabic" w:hAnsi="Traditional Arabic" w:cs="Monotype Koufi"/>
        <w:rtl/>
      </w:rPr>
    </w:pPr>
    <w:r w:rsidRPr="00C81236">
      <w:rPr>
        <w:rFonts w:ascii="Traditional Arabic" w:hAnsi="Traditional Arabic" w:cs="Monotype Koufi" w:hint="cs"/>
        <w:rtl/>
      </w:rPr>
      <w:t>المركز القانوني للحقوق والتنمية</w:t>
    </w:r>
    <w:r>
      <w:rPr>
        <w:rFonts w:ascii="Traditional Arabic" w:hAnsi="Traditional Arabic" w:cs="Monotype Koufi" w:hint="cs"/>
        <w:noProof/>
        <w:rtl/>
      </w:rPr>
      <w:drawing>
        <wp:inline distT="0" distB="0" distL="0" distR="0" wp14:anchorId="0B3205B5" wp14:editId="1911A4E8">
          <wp:extent cx="439387" cy="439387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‫الشعار النهائي - مفرغ - نسخ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17" cy="4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61"/>
    <w:rsid w:val="000163A7"/>
    <w:rsid w:val="000248F7"/>
    <w:rsid w:val="000252AB"/>
    <w:rsid w:val="0006678C"/>
    <w:rsid w:val="0006680B"/>
    <w:rsid w:val="000F535E"/>
    <w:rsid w:val="00175C22"/>
    <w:rsid w:val="001C002C"/>
    <w:rsid w:val="001F507A"/>
    <w:rsid w:val="00242C5E"/>
    <w:rsid w:val="00255FC2"/>
    <w:rsid w:val="00264AB4"/>
    <w:rsid w:val="002C51C0"/>
    <w:rsid w:val="002E6566"/>
    <w:rsid w:val="00351913"/>
    <w:rsid w:val="00382D8F"/>
    <w:rsid w:val="00394244"/>
    <w:rsid w:val="0046365F"/>
    <w:rsid w:val="004B1481"/>
    <w:rsid w:val="005801BB"/>
    <w:rsid w:val="005932F4"/>
    <w:rsid w:val="00620B63"/>
    <w:rsid w:val="00680B91"/>
    <w:rsid w:val="00697F70"/>
    <w:rsid w:val="006C1329"/>
    <w:rsid w:val="006D759C"/>
    <w:rsid w:val="00763FF1"/>
    <w:rsid w:val="007D7FDD"/>
    <w:rsid w:val="00893362"/>
    <w:rsid w:val="008B61DE"/>
    <w:rsid w:val="008C3B49"/>
    <w:rsid w:val="008E5457"/>
    <w:rsid w:val="009437CB"/>
    <w:rsid w:val="00956A03"/>
    <w:rsid w:val="00985FDD"/>
    <w:rsid w:val="009C476A"/>
    <w:rsid w:val="009D3C66"/>
    <w:rsid w:val="009E7259"/>
    <w:rsid w:val="00AF1F87"/>
    <w:rsid w:val="00B0642D"/>
    <w:rsid w:val="00B42027"/>
    <w:rsid w:val="00B91790"/>
    <w:rsid w:val="00C81236"/>
    <w:rsid w:val="00C87E50"/>
    <w:rsid w:val="00CE6561"/>
    <w:rsid w:val="00D61715"/>
    <w:rsid w:val="00D72EDD"/>
    <w:rsid w:val="00E4703B"/>
    <w:rsid w:val="00EC5460"/>
    <w:rsid w:val="00F460DB"/>
    <w:rsid w:val="00F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28"/>
        <w:szCs w:val="28"/>
        <w:lang w:val="en-US" w:eastAsia="en-US" w:bidi="ar-SA"/>
      </w:rPr>
    </w:rPrDefault>
    <w:pPrDefault>
      <w:pPr>
        <w:spacing w:before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1236"/>
    <w:pPr>
      <w:tabs>
        <w:tab w:val="center" w:pos="4153"/>
        <w:tab w:val="right" w:pos="8306"/>
      </w:tabs>
      <w:spacing w:before="0"/>
    </w:pPr>
  </w:style>
  <w:style w:type="character" w:customStyle="1" w:styleId="Char">
    <w:name w:val="رأس الصفحة Char"/>
    <w:basedOn w:val="a0"/>
    <w:link w:val="a4"/>
    <w:uiPriority w:val="99"/>
    <w:rsid w:val="00C81236"/>
  </w:style>
  <w:style w:type="paragraph" w:styleId="a5">
    <w:name w:val="footer"/>
    <w:basedOn w:val="a"/>
    <w:link w:val="Char0"/>
    <w:uiPriority w:val="99"/>
    <w:unhideWhenUsed/>
    <w:rsid w:val="00C81236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تذييل الصفحة Char"/>
    <w:basedOn w:val="a0"/>
    <w:link w:val="a5"/>
    <w:uiPriority w:val="99"/>
    <w:rsid w:val="00C81236"/>
  </w:style>
  <w:style w:type="paragraph" w:styleId="a6">
    <w:name w:val="Balloon Text"/>
    <w:basedOn w:val="a"/>
    <w:link w:val="Char1"/>
    <w:uiPriority w:val="99"/>
    <w:semiHidden/>
    <w:unhideWhenUsed/>
    <w:rsid w:val="00C81236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8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sz w:val="28"/>
        <w:szCs w:val="28"/>
        <w:lang w:val="en-US" w:eastAsia="en-US" w:bidi="ar-SA"/>
      </w:rPr>
    </w:rPrDefault>
    <w:pPrDefault>
      <w:pPr>
        <w:spacing w:before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1236"/>
    <w:pPr>
      <w:tabs>
        <w:tab w:val="center" w:pos="4153"/>
        <w:tab w:val="right" w:pos="8306"/>
      </w:tabs>
      <w:spacing w:before="0"/>
    </w:pPr>
  </w:style>
  <w:style w:type="character" w:customStyle="1" w:styleId="Char">
    <w:name w:val="رأس الصفحة Char"/>
    <w:basedOn w:val="a0"/>
    <w:link w:val="a4"/>
    <w:uiPriority w:val="99"/>
    <w:rsid w:val="00C81236"/>
  </w:style>
  <w:style w:type="paragraph" w:styleId="a5">
    <w:name w:val="footer"/>
    <w:basedOn w:val="a"/>
    <w:link w:val="Char0"/>
    <w:uiPriority w:val="99"/>
    <w:unhideWhenUsed/>
    <w:rsid w:val="00C81236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تذييل الصفحة Char"/>
    <w:basedOn w:val="a0"/>
    <w:link w:val="a5"/>
    <w:uiPriority w:val="99"/>
    <w:rsid w:val="00C81236"/>
  </w:style>
  <w:style w:type="paragraph" w:styleId="a6">
    <w:name w:val="Balloon Text"/>
    <w:basedOn w:val="a"/>
    <w:link w:val="Char1"/>
    <w:uiPriority w:val="99"/>
    <w:semiHidden/>
    <w:unhideWhenUsed/>
    <w:rsid w:val="00C81236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8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Center</dc:creator>
  <cp:lastModifiedBy>hp</cp:lastModifiedBy>
  <cp:revision>2</cp:revision>
  <cp:lastPrinted>2017-01-29T12:58:00Z</cp:lastPrinted>
  <dcterms:created xsi:type="dcterms:W3CDTF">2017-12-18T18:54:00Z</dcterms:created>
  <dcterms:modified xsi:type="dcterms:W3CDTF">2017-12-18T18:54:00Z</dcterms:modified>
</cp:coreProperties>
</file>